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Expense Policy Exception Memo</w:t>
      </w:r>
    </w:p>
    <w:p>
      <w:pPr>
        <w:spacing w:after="240"/>
      </w:pPr>
      <w:r>
        <w:rPr>
          <w:i/>
        </w:rPr>
        <w:t>Synthetic finance memo with approvals, receipts, percentages, and review status.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Memo ID</w:t>
            </w:r>
          </w:p>
        </w:tc>
        <w:tc>
          <w:tcPr>
            <w:tcW w:type="dxa" w:w="6480"/>
          </w:tcPr>
          <w:p>
            <w:r>
              <w:t>FIN-MEMO-2026-031</w:t>
            </w:r>
          </w:p>
        </w:tc>
      </w:tr>
      <w:tr>
        <w:tc>
          <w:tcPr>
            <w:tcW w:type="dxa" w:w="2592"/>
          </w:tcPr>
          <w:p>
            <w:r>
              <w:t>Requester</w:t>
            </w:r>
          </w:p>
        </w:tc>
        <w:tc>
          <w:tcPr>
            <w:tcW w:type="dxa" w:w="6480"/>
          </w:tcPr>
          <w:p>
            <w:r>
              <w:t>Morgan Lee</w:t>
            </w:r>
          </w:p>
        </w:tc>
      </w:tr>
      <w:tr>
        <w:tc>
          <w:tcPr>
            <w:tcW w:type="dxa" w:w="2592"/>
          </w:tcPr>
          <w:p>
            <w:r>
              <w:t>Department</w:t>
            </w:r>
          </w:p>
        </w:tc>
        <w:tc>
          <w:tcPr>
            <w:tcW w:type="dxa" w:w="6480"/>
          </w:tcPr>
          <w:p>
            <w:r>
              <w:t>Field Operations</w:t>
            </w:r>
          </w:p>
        </w:tc>
      </w:tr>
      <w:tr>
        <w:tc>
          <w:tcPr>
            <w:tcW w:type="dxa" w:w="2592"/>
          </w:tcPr>
          <w:p>
            <w:r>
              <w:t>Decision</w:t>
            </w:r>
          </w:p>
        </w:tc>
        <w:tc>
          <w:tcPr>
            <w:tcW w:type="dxa" w:w="6480"/>
          </w:tcPr>
          <w:p>
            <w:r>
              <w:t>Approved with conditions</w:t>
            </w:r>
          </w:p>
        </w:tc>
      </w:tr>
    </w:tbl>
    <w:p/>
    <w:p>
      <w:pPr>
        <w:pStyle w:val="Heading1"/>
      </w:pPr>
      <w:r>
        <w:t>Request Summary</w:t>
      </w:r>
    </w:p>
    <w:p>
      <w:r>
        <w:t>Morgan Lee requested reimbursement for emergency lodging and replacement equipment during the Phoenix rollout from 2026-05-03 to 2026-05-07.</w:t>
      </w:r>
    </w:p>
    <w:p>
      <w:r>
        <w:t>The total requested reimbursement is $6,430.25, which is 18% above the standard travel cap.</w:t>
      </w:r>
    </w:p>
    <w:p>
      <w:pPr>
        <w:pStyle w:val="ListBullet"/>
      </w:pPr>
      <w:r>
        <w:t>Approval requires VP Finance review because the cap variance exceeds 10%.</w:t>
      </w:r>
    </w:p>
    <w:p>
      <w:pPr>
        <w:pStyle w:val="ListBullet"/>
      </w:pPr>
      <w:r>
        <w:t>Receipt R-44819 is missing the hotel tax breakdown.</w:t>
      </w:r>
    </w:p>
    <w:p>
      <w:pPr>
        <w:pStyle w:val="Heading1"/>
      </w:pPr>
      <w:r>
        <w:t>Approval Trail</w:t>
      </w:r>
    </w:p>
    <w:p>
      <w:r>
        <w:rPr>
          <w:b/>
        </w:rPr>
        <w:t>Reviewer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Reviewer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Role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Status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Condition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Avery Patel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Manager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Approved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Attach missing tax folio.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Dana Brooks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Finance Ops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Approved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Code $1,140.00 to emergency response.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Riley Chen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VP Finance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Approved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One-time exception only.</w:t>
            </w:r>
          </w:p>
        </w:tc>
      </w:tr>
    </w:tbl>
    <w:p/>
    <w:p>
      <w:pPr>
        <w:sectPr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Appendix: Extraction Cues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r>
        <w:t>Fixture note: all people, organizations, numbers, and addresses are synthetic.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Finance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