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pPr>
    </w:p>
    <w:p>
      <w:pPr>
        <w:spacing w:after="160"/>
      </w:pPr>
      <w:r>
        <w:rPr>
          <w:rFonts w:ascii="Calibri" w:hAnsi="Calibri"/>
          <w:b/>
          <w:color w:val="1B365D"/>
          <w:sz w:val="52"/>
        </w:rPr>
        <w:t>BANK LOAN ANALYTICS</w:t>
        <w:br/>
        <w:t>CLIENT QUESTIONS → VISUAL ANSWERS</w:t>
      </w:r>
    </w:p>
    <w:p>
      <w:pPr>
        <w:spacing w:after="560"/>
      </w:pPr>
      <w:r>
        <w:rPr>
          <w:rFonts w:ascii="Calibri" w:hAnsi="Calibri"/>
          <w:color w:val="336699"/>
          <w:sz w:val="28"/>
        </w:rPr>
        <w:t>Data Analyst Business Interpretation Guide &amp; Comprehensive Portfolio Analysis</w:t>
      </w:r>
    </w:p>
    <w:tbl>
      <w:tblPr>
        <w:tblW w:type="auto" w:w="0"/>
        <w:jc w:val="center"/>
        <w:tblLayout w:type="fixed"/>
        <w:tblLook w:firstColumn="1" w:firstRow="1" w:lastColumn="0" w:lastRow="0" w:noHBand="0" w:noVBand="1" w:val="04A0"/>
      </w:tblPr>
      <w:tblGrid>
        <w:gridCol w:w="9936"/>
      </w:tblGrid>
      <w:tr>
        <w:tc>
          <w:tcPr>
            <w:tcW w:type="dxa" w:w="9936"/>
            <w:shd w:fill="F4F6F9"/>
            <w:tcMar>
              <w:top w:w="140" w:type="dxa"/>
              <w:bottom w:w="140" w:type="dxa"/>
              <w:left w:w="180" w:type="dxa"/>
              <w:right w:w="180" w:type="dxa"/>
            </w:tcMar>
          </w:tcPr>
          <w:p>
            <w:pPr>
              <w:spacing w:before="0" w:after="0"/>
            </w:pPr>
            <w:r>
              <w:rPr>
                <w:rFonts w:ascii="Calibri" w:hAnsi="Calibri"/>
                <w:color w:val="222222"/>
                <w:sz w:val="19"/>
              </w:rPr>
              <w:t>CLIENT / ENGAGEMENT: ApexBank Lending (Fictional Commercial Lending Entity)</w:t>
              <w:br/>
              <w:t>PREPARED BY: Senior Data Analyst &amp; BI Consultant</w:t>
              <w:br/>
              <w:t>CORE DATASET: Financial_loan_data.xlsx (38,576 records | $435.8M Disbursed)</w:t>
              <w:br/>
              <w:t>DELIVERABLE ASSETS: Power BI Dashboard (.pbix), Executive Deck (.pptx), Technical Documentation</w:t>
              <w:br/>
              <w:t>DOCUMENT CLASSIFICATION: Commercial Lending Risk &amp; Operational Intelligence Guide</w:t>
            </w:r>
          </w:p>
        </w:tc>
      </w:tr>
    </w:tbl>
    <w:p>
      <w:r>
        <w:br w:type="page"/>
      </w:r>
    </w:p>
    <w:p>
      <w:pPr>
        <w:pStyle w:val="Heading1"/>
        <w:keepNext/>
        <w:spacing w:before="280" w:after="80"/>
      </w:pPr>
      <w:r>
        <w:rPr>
          <w:rFonts w:ascii="Calibri" w:hAnsi="Calibri"/>
          <w:b/>
          <w:color w:val="1B365D"/>
          <w:sz w:val="32"/>
        </w:rPr>
        <w:t>Section 1: Business Objective &amp; Context</w:t>
      </w:r>
    </w:p>
    <w:p>
      <w:r>
        <w:t>ApexBank Lending operates a high-volume retail and personal credit financing division. To sustain profitable growth while controlling systemic credit risk, institutional leadership requires comprehensive oversight across portfolio health, origination velocity, and collection efficiency. This document bridges the gap between complex lending datasets and strategic business execution by translating raw transactional telemetry into structured analytical answers and actionable management interventions.</w:t>
      </w:r>
    </w:p>
    <w:p>
      <w:pPr>
        <w:pStyle w:val="Heading2"/>
        <w:keepNext/>
        <w:spacing w:before="200" w:after="80"/>
      </w:pPr>
      <w:r>
        <w:rPr>
          <w:rFonts w:ascii="Calibri" w:hAnsi="Calibri"/>
          <w:b/>
          <w:color w:val="336699"/>
          <w:sz w:val="26"/>
        </w:rPr>
        <w:t>Core Business Pillars of the Analytics Framework</w:t>
      </w:r>
    </w:p>
    <w:p>
      <w:pPr>
        <w:pStyle w:val="ListBullet"/>
      </w:pPr>
      <w:r>
        <w:rPr>
          <w:b/>
          <w:color w:val="1B365D"/>
        </w:rPr>
        <w:t xml:space="preserve">Portfolio Health &amp; Composition: </w:t>
      </w:r>
      <w:r>
        <w:t>Monitoring total origination velocity (38,576 loan applications, $435.8M funded) and evaluating cash collection dynamics ($473.1M total collected) across tenor and product lines.</w:t>
      </w:r>
    </w:p>
    <w:p>
      <w:pPr>
        <w:pStyle w:val="ListBullet"/>
      </w:pPr>
      <w:r>
        <w:rPr>
          <w:b/>
          <w:color w:val="1B365D"/>
        </w:rPr>
        <w:t xml:space="preserve">Good vs. Bad Loan Segmentation: </w:t>
      </w:r>
      <w:r>
        <w:t>Rigorous isolation of non-defaulting performing assets ('Good Loans' = Fully Paid + Current, 86.18%) versus defaulted assets ('Bad Loans' = Charged Off, 13.82%) to safeguard equity and protect underwriting yield.</w:t>
      </w:r>
    </w:p>
    <w:p>
      <w:pPr>
        <w:pStyle w:val="ListBullet"/>
      </w:pPr>
      <w:r>
        <w:rPr>
          <w:b/>
          <w:color w:val="1B365D"/>
        </w:rPr>
        <w:t xml:space="preserve">Lending Operations &amp; Underwriting Throughput: </w:t>
      </w:r>
      <w:r>
        <w:t>Tracking operational throughput across 36-month and 60-month tenures, institutional verification workflows (Verified, Source Verified, Not Verified), and workforce stability.</w:t>
      </w:r>
    </w:p>
    <w:p>
      <w:pPr>
        <w:pStyle w:val="ListBullet"/>
      </w:pPr>
      <w:r>
        <w:rPr>
          <w:b/>
          <w:color w:val="1B365D"/>
        </w:rPr>
        <w:t xml:space="preserve">Repayment Tracking &amp; Capital Recovery: </w:t>
      </w:r>
      <w:r>
        <w:t>Assessing liquidity velocity and capital return multiples across loan cohorts to pinpoint net cash flow recovery gaps ($28.2M principal shortfall on charged-off assets).</w:t>
      </w:r>
    </w:p>
    <w:p>
      <w:pPr>
        <w:pStyle w:val="ListBullet"/>
      </w:pPr>
      <w:r>
        <w:rPr>
          <w:b/>
          <w:color w:val="1B365D"/>
        </w:rPr>
        <w:t xml:space="preserve">Credit Risk Management &amp; Credit Tiering: </w:t>
      </w:r>
      <w:r>
        <w:t>Correlating borrower credit tiers (Grades A through G) and sub-grades with default likelihood to optimize provisioning buffers, reserve allocations, and exposure limits.</w:t>
      </w:r>
    </w:p>
    <w:p>
      <w:pPr>
        <w:pStyle w:val="ListBullet"/>
      </w:pPr>
      <w:r>
        <w:rPr>
          <w:b/>
          <w:color w:val="1B365D"/>
        </w:rPr>
        <w:t xml:space="preserve">Interest Rate &amp; Yield Optimization: </w:t>
      </w:r>
      <w:r>
        <w:t>Evaluating portfolio cost of credit (12.05% overall average interest rate) against borrower risk profiles to ensure risk-adjusted margin expansion without driving adverse selection.</w:t>
      </w:r>
    </w:p>
    <w:p>
      <w:pPr>
        <w:pStyle w:val="ListBullet"/>
      </w:pPr>
      <w:r>
        <w:rPr>
          <w:b/>
          <w:color w:val="1B365D"/>
        </w:rPr>
        <w:t xml:space="preserve">Debt-to-Income (DTI) Financial Health Tracking: </w:t>
      </w:r>
      <w:r>
        <w:t>Analyzing debt burden metrics (13.33% portfolio average DTI) to prevent household overleveraging and mitigate default propensities under macroeconomic shifts.</w:t>
      </w:r>
    </w:p>
    <w:tbl>
      <w:tblPr>
        <w:tblW w:type="auto" w:w="0"/>
        <w:jc w:val="center"/>
        <w:tblLayout w:type="fixed"/>
        <w:tblLook w:firstColumn="1" w:firstRow="1" w:lastColumn="0" w:lastRow="0" w:noHBand="0" w:noVBand="1" w:val="04A0"/>
      </w:tblPr>
      <w:tblGrid>
        <w:gridCol w:w="9936"/>
      </w:tblGrid>
      <w:tr>
        <w:tc>
          <w:tcPr>
            <w:tcW w:type="dxa" w:w="9936"/>
            <w:shd w:fill="F4F6F9"/>
            <w:tcMar>
              <w:top w:w="120" w:type="dxa"/>
              <w:bottom w:w="120" w:type="dxa"/>
              <w:left w:w="160" w:type="dxa"/>
              <w:right w:w="160" w:type="dxa"/>
            </w:tcMar>
            <w:tcBorders>
              <w:left w:val="single" w:sz="24" w:space="0" w:color="1B365D"/>
              <w:top w:val="none"/>
              <w:right w:val="none"/>
              <w:bottom w:val="none"/>
            </w:tcBorders>
          </w:tcPr>
          <w:p>
            <w:pPr>
              <w:spacing w:before="0" w:after="40"/>
            </w:pPr>
            <w:r>
              <w:rPr>
                <w:rFonts w:ascii="Calibri" w:hAnsi="Calibri"/>
                <w:b/>
                <w:color w:val="1B365D"/>
                <w:sz w:val="20"/>
              </w:rPr>
              <w:t>✦  EXECUTIVE MANDATE</w:t>
              <w:br/>
            </w:r>
            <w:r>
              <w:rPr>
                <w:rFonts w:ascii="Calibri" w:hAnsi="Calibri"/>
                <w:color w:val="222222"/>
                <w:sz w:val="19"/>
              </w:rPr>
              <w:t>The primary objective is to maintain an institutional Good Loan ratio above 85%, minimize capital write-offs in high-risk borrower tiers, and institute proactive Month-over-Month (MoM) credit monitoring mechanisms across regional origination hubs.</w:t>
            </w:r>
          </w:p>
        </w:tc>
      </w:tr>
    </w:tbl>
    <w:p>
      <w:pPr>
        <w:spacing w:after="60"/>
      </w:pPr>
    </w:p>
    <w:p>
      <w:pPr>
        <w:pStyle w:val="Heading1"/>
        <w:keepNext/>
        <w:spacing w:before="280" w:after="80"/>
      </w:pPr>
      <w:r>
        <w:rPr>
          <w:rFonts w:ascii="Calibri" w:hAnsi="Calibri"/>
          <w:b/>
          <w:color w:val="1B365D"/>
          <w:sz w:val="32"/>
        </w:rPr>
        <w:t>Section 2: Executive Summary &amp; Institutional KPI Scorecard</w:t>
      </w:r>
    </w:p>
    <w:p>
      <w:r>
        <w:t>The following scorecard outlines the foundational Key Performance Indicators (KPIs) computed from the portfolio. All calculations strictly reflect verified dataset values across 38,576 applications, tracking total origination, Month-to-Date (MTD) December activity, Month-over-Month (MoM) growth rates, and loan status asset segregation.</w:t>
      </w:r>
    </w:p>
    <w:tbl>
      <w:tblPr>
        <w:tblW w:type="auto" w:w="0"/>
        <w:jc w:val="center"/>
        <w:tblLayout w:type="fixed"/>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1987"/>
        <w:gridCol w:w="1987"/>
        <w:gridCol w:w="1987"/>
        <w:gridCol w:w="1987"/>
        <w:gridCol w:w="1987"/>
      </w:tblGrid>
      <w:tr>
        <w:tc>
          <w:tcPr>
            <w:tcW w:type="dxa" w:w="2592"/>
            <w:shd w:fill="1B365D"/>
            <w:tcMar>
              <w:top w:w="100" w:type="dxa"/>
              <w:bottom w:w="100" w:type="dxa"/>
              <w:left w:w="100" w:type="dxa"/>
              <w:right w:w="100" w:type="dxa"/>
            </w:tcMar>
          </w:tcPr>
          <w:p>
            <w:pPr>
              <w:jc w:val="center"/>
            </w:pPr>
            <w:r>
              <w:rPr>
                <w:rFonts w:ascii="Calibri" w:hAnsi="Calibri"/>
                <w:b/>
                <w:color w:val="FFFFFF"/>
                <w:sz w:val="18"/>
              </w:rPr>
              <w:t>Metric / KPI</w:t>
            </w:r>
          </w:p>
        </w:tc>
        <w:tc>
          <w:tcPr>
            <w:tcW w:type="dxa" w:w="1584"/>
            <w:shd w:fill="1B365D"/>
            <w:tcMar>
              <w:top w:w="100" w:type="dxa"/>
              <w:bottom w:w="100" w:type="dxa"/>
              <w:left w:w="100" w:type="dxa"/>
              <w:right w:w="100" w:type="dxa"/>
            </w:tcMar>
          </w:tcPr>
          <w:p>
            <w:pPr>
              <w:jc w:val="center"/>
            </w:pPr>
            <w:r>
              <w:rPr>
                <w:rFonts w:ascii="Calibri" w:hAnsi="Calibri"/>
                <w:b/>
                <w:color w:val="FFFFFF"/>
                <w:sz w:val="18"/>
              </w:rPr>
              <w:t>Total Portfolio</w:t>
            </w:r>
          </w:p>
        </w:tc>
        <w:tc>
          <w:tcPr>
            <w:tcW w:type="dxa" w:w="1296"/>
            <w:shd w:fill="1B365D"/>
            <w:tcMar>
              <w:top w:w="100" w:type="dxa"/>
              <w:bottom w:w="100" w:type="dxa"/>
              <w:left w:w="100" w:type="dxa"/>
              <w:right w:w="100" w:type="dxa"/>
            </w:tcMar>
          </w:tcPr>
          <w:p>
            <w:pPr>
              <w:jc w:val="center"/>
            </w:pPr>
            <w:r>
              <w:rPr>
                <w:rFonts w:ascii="Calibri" w:hAnsi="Calibri"/>
                <w:b/>
                <w:color w:val="FFFFFF"/>
                <w:sz w:val="18"/>
              </w:rPr>
              <w:t>MTD (Dec)</w:t>
            </w:r>
          </w:p>
        </w:tc>
        <w:tc>
          <w:tcPr>
            <w:tcW w:type="dxa" w:w="1440"/>
            <w:shd w:fill="1B365D"/>
            <w:tcMar>
              <w:top w:w="100" w:type="dxa"/>
              <w:bottom w:w="100" w:type="dxa"/>
              <w:left w:w="100" w:type="dxa"/>
              <w:right w:w="100" w:type="dxa"/>
            </w:tcMar>
          </w:tcPr>
          <w:p>
            <w:pPr>
              <w:jc w:val="center"/>
            </w:pPr>
            <w:r>
              <w:rPr>
                <w:rFonts w:ascii="Calibri" w:hAnsi="Calibri"/>
                <w:b/>
                <w:color w:val="FFFFFF"/>
                <w:sz w:val="18"/>
              </w:rPr>
              <w:t>MoM Growth</w:t>
            </w:r>
          </w:p>
        </w:tc>
        <w:tc>
          <w:tcPr>
            <w:tcW w:type="dxa" w:w="3024"/>
            <w:shd w:fill="1B365D"/>
            <w:tcMar>
              <w:top w:w="100" w:type="dxa"/>
              <w:bottom w:w="100" w:type="dxa"/>
              <w:left w:w="100" w:type="dxa"/>
              <w:right w:w="100" w:type="dxa"/>
            </w:tcMar>
          </w:tcPr>
          <w:p>
            <w:pPr>
              <w:jc w:val="center"/>
            </w:pPr>
            <w:r>
              <w:rPr>
                <w:rFonts w:ascii="Calibri" w:hAnsi="Calibri"/>
                <w:b/>
                <w:color w:val="FFFFFF"/>
                <w:sz w:val="18"/>
              </w:rPr>
              <w:t>Business Meaning &amp; Impact</w:t>
            </w:r>
          </w:p>
        </w:tc>
      </w:tr>
      <w:tr>
        <w:tc>
          <w:tcPr>
            <w:tcW w:type="dxa" w:w="2592"/>
            <w:shd w:fill="FFFFFF"/>
            <w:tcMar>
              <w:top w:w="80" w:type="dxa"/>
              <w:bottom w:w="80" w:type="dxa"/>
              <w:left w:w="90" w:type="dxa"/>
              <w:right w:w="90" w:type="dxa"/>
            </w:tcMar>
          </w:tcPr>
          <w:p>
            <w:pPr>
              <w:jc w:val="left"/>
            </w:pPr>
            <w:r>
              <w:rPr>
                <w:rFonts w:ascii="Calibri" w:hAnsi="Calibri"/>
                <w:b/>
                <w:color w:val="1B365D"/>
                <w:sz w:val="17"/>
              </w:rPr>
              <w:t>Total Loan Applications</w:t>
            </w:r>
          </w:p>
        </w:tc>
        <w:tc>
          <w:tcPr>
            <w:tcW w:type="dxa" w:w="1584"/>
            <w:shd w:fill="FFFFFF"/>
            <w:tcMar>
              <w:top w:w="80" w:type="dxa"/>
              <w:bottom w:w="80" w:type="dxa"/>
              <w:left w:w="90" w:type="dxa"/>
              <w:right w:w="90" w:type="dxa"/>
            </w:tcMar>
          </w:tcPr>
          <w:p>
            <w:pPr>
              <w:jc w:val="right"/>
            </w:pPr>
            <w:r>
              <w:rPr>
                <w:rFonts w:ascii="Calibri" w:hAnsi="Calibri"/>
                <w:sz w:val="17"/>
              </w:rPr>
              <w:t>38,576</w:t>
            </w:r>
          </w:p>
        </w:tc>
        <w:tc>
          <w:tcPr>
            <w:tcW w:type="dxa" w:w="1296"/>
            <w:shd w:fill="FFFFFF"/>
            <w:tcMar>
              <w:top w:w="80" w:type="dxa"/>
              <w:bottom w:w="80" w:type="dxa"/>
              <w:left w:w="90" w:type="dxa"/>
              <w:right w:w="90" w:type="dxa"/>
            </w:tcMar>
          </w:tcPr>
          <w:p>
            <w:pPr>
              <w:jc w:val="right"/>
            </w:pPr>
            <w:r>
              <w:rPr>
                <w:rFonts w:ascii="Calibri" w:hAnsi="Calibri"/>
                <w:sz w:val="17"/>
              </w:rPr>
              <w:t>4,314</w:t>
            </w:r>
          </w:p>
        </w:tc>
        <w:tc>
          <w:tcPr>
            <w:tcW w:type="dxa" w:w="1440"/>
            <w:shd w:fill="FFFFFF"/>
            <w:tcMar>
              <w:top w:w="80" w:type="dxa"/>
              <w:bottom w:w="80" w:type="dxa"/>
              <w:left w:w="90" w:type="dxa"/>
              <w:right w:w="90" w:type="dxa"/>
            </w:tcMar>
          </w:tcPr>
          <w:p>
            <w:pPr>
              <w:jc w:val="right"/>
            </w:pPr>
            <w:r>
              <w:rPr>
                <w:rFonts w:ascii="Calibri" w:hAnsi="Calibri"/>
                <w:color w:val="1E7E34"/>
                <w:sz w:val="17"/>
              </w:rPr>
              <w:t>+6.9% MoM</w:t>
            </w:r>
          </w:p>
        </w:tc>
        <w:tc>
          <w:tcPr>
            <w:tcW w:type="dxa" w:w="3024"/>
            <w:shd w:fill="FFFFFF"/>
            <w:tcMar>
              <w:top w:w="80" w:type="dxa"/>
              <w:bottom w:w="80" w:type="dxa"/>
              <w:left w:w="90" w:type="dxa"/>
              <w:right w:w="90" w:type="dxa"/>
            </w:tcMar>
          </w:tcPr>
          <w:p>
            <w:pPr>
              <w:jc w:val="left"/>
            </w:pPr>
            <w:r>
              <w:rPr>
                <w:rFonts w:ascii="Calibri" w:hAnsi="Calibri"/>
                <w:sz w:val="17"/>
              </w:rPr>
              <w:t>Cumulative loan demand and underwriting throughput across all channels.</w:t>
            </w:r>
          </w:p>
        </w:tc>
      </w:tr>
      <w:tr>
        <w:tc>
          <w:tcPr>
            <w:tcW w:type="dxa" w:w="2592"/>
            <w:shd w:fill="F4F6F9"/>
            <w:tcMar>
              <w:top w:w="80" w:type="dxa"/>
              <w:bottom w:w="80" w:type="dxa"/>
              <w:left w:w="90" w:type="dxa"/>
              <w:right w:w="90" w:type="dxa"/>
            </w:tcMar>
          </w:tcPr>
          <w:p>
            <w:pPr>
              <w:jc w:val="left"/>
            </w:pPr>
            <w:r>
              <w:rPr>
                <w:rFonts w:ascii="Calibri" w:hAnsi="Calibri"/>
                <w:b/>
                <w:color w:val="1B365D"/>
                <w:sz w:val="17"/>
              </w:rPr>
              <w:t>Total Funded Amount</w:t>
            </w:r>
          </w:p>
        </w:tc>
        <w:tc>
          <w:tcPr>
            <w:tcW w:type="dxa" w:w="1584"/>
            <w:shd w:fill="F4F6F9"/>
            <w:tcMar>
              <w:top w:w="80" w:type="dxa"/>
              <w:bottom w:w="80" w:type="dxa"/>
              <w:left w:w="90" w:type="dxa"/>
              <w:right w:w="90" w:type="dxa"/>
            </w:tcMar>
          </w:tcPr>
          <w:p>
            <w:pPr>
              <w:jc w:val="right"/>
            </w:pPr>
            <w:r>
              <w:rPr>
                <w:rFonts w:ascii="Calibri" w:hAnsi="Calibri"/>
                <w:sz w:val="17"/>
              </w:rPr>
              <w:t>$435,757,075 ($435.8M)</w:t>
            </w:r>
          </w:p>
        </w:tc>
        <w:tc>
          <w:tcPr>
            <w:tcW w:type="dxa" w:w="1296"/>
            <w:shd w:fill="F4F6F9"/>
            <w:tcMar>
              <w:top w:w="80" w:type="dxa"/>
              <w:bottom w:w="80" w:type="dxa"/>
              <w:left w:w="90" w:type="dxa"/>
              <w:right w:w="90" w:type="dxa"/>
            </w:tcMar>
          </w:tcPr>
          <w:p>
            <w:pPr>
              <w:jc w:val="right"/>
            </w:pPr>
            <w:r>
              <w:rPr>
                <w:rFonts w:ascii="Calibri" w:hAnsi="Calibri"/>
                <w:sz w:val="17"/>
              </w:rPr>
              <w:t>$53,981,425 ($54.0M)</w:t>
            </w:r>
          </w:p>
        </w:tc>
        <w:tc>
          <w:tcPr>
            <w:tcW w:type="dxa" w:w="1440"/>
            <w:shd w:fill="F4F6F9"/>
            <w:tcMar>
              <w:top w:w="80" w:type="dxa"/>
              <w:bottom w:w="80" w:type="dxa"/>
              <w:left w:w="90" w:type="dxa"/>
              <w:right w:w="90" w:type="dxa"/>
            </w:tcMar>
          </w:tcPr>
          <w:p>
            <w:pPr>
              <w:jc w:val="right"/>
            </w:pPr>
            <w:r>
              <w:rPr>
                <w:rFonts w:ascii="Calibri" w:hAnsi="Calibri"/>
                <w:color w:val="1E7E34"/>
                <w:sz w:val="17"/>
              </w:rPr>
              <w:t>+13.0% MoM</w:t>
            </w:r>
          </w:p>
        </w:tc>
        <w:tc>
          <w:tcPr>
            <w:tcW w:type="dxa" w:w="3024"/>
            <w:shd w:fill="F4F6F9"/>
            <w:tcMar>
              <w:top w:w="80" w:type="dxa"/>
              <w:bottom w:w="80" w:type="dxa"/>
              <w:left w:w="90" w:type="dxa"/>
              <w:right w:w="90" w:type="dxa"/>
            </w:tcMar>
          </w:tcPr>
          <w:p>
            <w:pPr>
              <w:jc w:val="left"/>
            </w:pPr>
            <w:r>
              <w:rPr>
                <w:rFonts w:ascii="Calibri" w:hAnsi="Calibri"/>
                <w:sz w:val="17"/>
              </w:rPr>
              <w:t>Total capital liquidity disbursed as loan principal to borrowers.</w:t>
            </w:r>
          </w:p>
        </w:tc>
      </w:tr>
      <w:tr>
        <w:tc>
          <w:tcPr>
            <w:tcW w:type="dxa" w:w="2592"/>
            <w:shd w:fill="FFFFFF"/>
            <w:tcMar>
              <w:top w:w="80" w:type="dxa"/>
              <w:bottom w:w="80" w:type="dxa"/>
              <w:left w:w="90" w:type="dxa"/>
              <w:right w:w="90" w:type="dxa"/>
            </w:tcMar>
          </w:tcPr>
          <w:p>
            <w:pPr>
              <w:jc w:val="left"/>
            </w:pPr>
            <w:r>
              <w:rPr>
                <w:rFonts w:ascii="Calibri" w:hAnsi="Calibri"/>
                <w:b/>
                <w:color w:val="1B365D"/>
                <w:sz w:val="17"/>
              </w:rPr>
              <w:t>Total Amount Received</w:t>
            </w:r>
          </w:p>
        </w:tc>
        <w:tc>
          <w:tcPr>
            <w:tcW w:type="dxa" w:w="1584"/>
            <w:shd w:fill="FFFFFF"/>
            <w:tcMar>
              <w:top w:w="80" w:type="dxa"/>
              <w:bottom w:w="80" w:type="dxa"/>
              <w:left w:w="90" w:type="dxa"/>
              <w:right w:w="90" w:type="dxa"/>
            </w:tcMar>
          </w:tcPr>
          <w:p>
            <w:pPr>
              <w:jc w:val="right"/>
            </w:pPr>
            <w:r>
              <w:rPr>
                <w:rFonts w:ascii="Calibri" w:hAnsi="Calibri"/>
                <w:sz w:val="17"/>
              </w:rPr>
              <w:t>$473,070,019 ($473.1M)</w:t>
            </w:r>
          </w:p>
        </w:tc>
        <w:tc>
          <w:tcPr>
            <w:tcW w:type="dxa" w:w="1296"/>
            <w:shd w:fill="FFFFFF"/>
            <w:tcMar>
              <w:top w:w="80" w:type="dxa"/>
              <w:bottom w:w="80" w:type="dxa"/>
              <w:left w:w="90" w:type="dxa"/>
              <w:right w:w="90" w:type="dxa"/>
            </w:tcMar>
          </w:tcPr>
          <w:p>
            <w:pPr>
              <w:jc w:val="right"/>
            </w:pPr>
            <w:r>
              <w:rPr>
                <w:rFonts w:ascii="Calibri" w:hAnsi="Calibri"/>
                <w:sz w:val="17"/>
              </w:rPr>
              <w:t>$58,074,380 ($58.1M)</w:t>
            </w:r>
          </w:p>
        </w:tc>
        <w:tc>
          <w:tcPr>
            <w:tcW w:type="dxa" w:w="1440"/>
            <w:shd w:fill="FFFFFF"/>
            <w:tcMar>
              <w:top w:w="80" w:type="dxa"/>
              <w:bottom w:w="80" w:type="dxa"/>
              <w:left w:w="90" w:type="dxa"/>
              <w:right w:w="90" w:type="dxa"/>
            </w:tcMar>
          </w:tcPr>
          <w:p>
            <w:pPr>
              <w:jc w:val="right"/>
            </w:pPr>
            <w:r>
              <w:rPr>
                <w:rFonts w:ascii="Calibri" w:hAnsi="Calibri"/>
                <w:color w:val="1E7E34"/>
                <w:sz w:val="17"/>
              </w:rPr>
              <w:t>+15.8% MoM</w:t>
            </w:r>
          </w:p>
        </w:tc>
        <w:tc>
          <w:tcPr>
            <w:tcW w:type="dxa" w:w="3024"/>
            <w:shd w:fill="FFFFFF"/>
            <w:tcMar>
              <w:top w:w="80" w:type="dxa"/>
              <w:bottom w:w="80" w:type="dxa"/>
              <w:left w:w="90" w:type="dxa"/>
              <w:right w:w="90" w:type="dxa"/>
            </w:tcMar>
          </w:tcPr>
          <w:p>
            <w:pPr>
              <w:jc w:val="left"/>
            </w:pPr>
            <w:r>
              <w:rPr>
                <w:rFonts w:ascii="Calibri" w:hAnsi="Calibri"/>
                <w:sz w:val="17"/>
              </w:rPr>
              <w:t>Total cash inflow from borrower principal, interest, and late payments (1.085x recovery).</w:t>
            </w:r>
          </w:p>
        </w:tc>
      </w:tr>
      <w:tr>
        <w:tc>
          <w:tcPr>
            <w:tcW w:type="dxa" w:w="2592"/>
            <w:shd w:fill="F4F6F9"/>
            <w:tcMar>
              <w:top w:w="80" w:type="dxa"/>
              <w:bottom w:w="80" w:type="dxa"/>
              <w:left w:w="90" w:type="dxa"/>
              <w:right w:w="90" w:type="dxa"/>
            </w:tcMar>
          </w:tcPr>
          <w:p>
            <w:pPr>
              <w:jc w:val="left"/>
            </w:pPr>
            <w:r>
              <w:rPr>
                <w:rFonts w:ascii="Calibri" w:hAnsi="Calibri"/>
                <w:b/>
                <w:color w:val="1B365D"/>
                <w:sz w:val="17"/>
              </w:rPr>
              <w:t>Average Interest Rate</w:t>
            </w:r>
          </w:p>
        </w:tc>
        <w:tc>
          <w:tcPr>
            <w:tcW w:type="dxa" w:w="1584"/>
            <w:shd w:fill="F4F6F9"/>
            <w:tcMar>
              <w:top w:w="80" w:type="dxa"/>
              <w:bottom w:w="80" w:type="dxa"/>
              <w:left w:w="90" w:type="dxa"/>
              <w:right w:w="90" w:type="dxa"/>
            </w:tcMar>
          </w:tcPr>
          <w:p>
            <w:pPr>
              <w:jc w:val="right"/>
            </w:pPr>
            <w:r>
              <w:rPr>
                <w:rFonts w:ascii="Calibri" w:hAnsi="Calibri"/>
                <w:sz w:val="17"/>
              </w:rPr>
              <w:t>12.05%</w:t>
            </w:r>
          </w:p>
        </w:tc>
        <w:tc>
          <w:tcPr>
            <w:tcW w:type="dxa" w:w="1296"/>
            <w:shd w:fill="F4F6F9"/>
            <w:tcMar>
              <w:top w:w="80" w:type="dxa"/>
              <w:bottom w:w="80" w:type="dxa"/>
              <w:left w:w="90" w:type="dxa"/>
              <w:right w:w="90" w:type="dxa"/>
            </w:tcMar>
          </w:tcPr>
          <w:p>
            <w:pPr>
              <w:jc w:val="right"/>
            </w:pPr>
            <w:r>
              <w:rPr>
                <w:rFonts w:ascii="Calibri" w:hAnsi="Calibri"/>
                <w:sz w:val="17"/>
              </w:rPr>
              <w:t>12.36%</w:t>
            </w:r>
          </w:p>
        </w:tc>
        <w:tc>
          <w:tcPr>
            <w:tcW w:type="dxa" w:w="1440"/>
            <w:shd w:fill="F4F6F9"/>
            <w:tcMar>
              <w:top w:w="80" w:type="dxa"/>
              <w:bottom w:w="80" w:type="dxa"/>
              <w:left w:w="90" w:type="dxa"/>
              <w:right w:w="90" w:type="dxa"/>
            </w:tcMar>
          </w:tcPr>
          <w:p>
            <w:pPr>
              <w:jc w:val="right"/>
            </w:pPr>
            <w:r>
              <w:rPr>
                <w:rFonts w:ascii="Calibri" w:hAnsi="Calibri"/>
                <w:color w:val="1E7E34"/>
                <w:sz w:val="17"/>
              </w:rPr>
              <w:t>+3.5% MoM (+41 bps)</w:t>
            </w:r>
          </w:p>
        </w:tc>
        <w:tc>
          <w:tcPr>
            <w:tcW w:type="dxa" w:w="3024"/>
            <w:shd w:fill="F4F6F9"/>
            <w:tcMar>
              <w:top w:w="80" w:type="dxa"/>
              <w:bottom w:w="80" w:type="dxa"/>
              <w:left w:w="90" w:type="dxa"/>
              <w:right w:w="90" w:type="dxa"/>
            </w:tcMar>
          </w:tcPr>
          <w:p>
            <w:pPr>
              <w:jc w:val="left"/>
            </w:pPr>
            <w:r>
              <w:rPr>
                <w:rFonts w:ascii="Calibri" w:hAnsi="Calibri"/>
                <w:sz w:val="17"/>
              </w:rPr>
              <w:t>Weighted average financing cost charged to borrowers across all loan tenors.</w:t>
            </w:r>
          </w:p>
        </w:tc>
      </w:tr>
      <w:tr>
        <w:tc>
          <w:tcPr>
            <w:tcW w:type="dxa" w:w="2592"/>
            <w:shd w:fill="FFFFFF"/>
            <w:tcMar>
              <w:top w:w="80" w:type="dxa"/>
              <w:bottom w:w="80" w:type="dxa"/>
              <w:left w:w="90" w:type="dxa"/>
              <w:right w:w="90" w:type="dxa"/>
            </w:tcMar>
          </w:tcPr>
          <w:p>
            <w:pPr>
              <w:jc w:val="left"/>
            </w:pPr>
            <w:r>
              <w:rPr>
                <w:rFonts w:ascii="Calibri" w:hAnsi="Calibri"/>
                <w:b/>
                <w:color w:val="1B365D"/>
                <w:sz w:val="17"/>
              </w:rPr>
              <w:t>Average Debt-to-Income (DTI)</w:t>
            </w:r>
          </w:p>
        </w:tc>
        <w:tc>
          <w:tcPr>
            <w:tcW w:type="dxa" w:w="1584"/>
            <w:shd w:fill="FFFFFF"/>
            <w:tcMar>
              <w:top w:w="80" w:type="dxa"/>
              <w:bottom w:w="80" w:type="dxa"/>
              <w:left w:w="90" w:type="dxa"/>
              <w:right w:w="90" w:type="dxa"/>
            </w:tcMar>
          </w:tcPr>
          <w:p>
            <w:pPr>
              <w:jc w:val="right"/>
            </w:pPr>
            <w:r>
              <w:rPr>
                <w:rFonts w:ascii="Calibri" w:hAnsi="Calibri"/>
                <w:sz w:val="17"/>
              </w:rPr>
              <w:t>13.33%</w:t>
            </w:r>
          </w:p>
        </w:tc>
        <w:tc>
          <w:tcPr>
            <w:tcW w:type="dxa" w:w="1296"/>
            <w:shd w:fill="FFFFFF"/>
            <w:tcMar>
              <w:top w:w="80" w:type="dxa"/>
              <w:bottom w:w="80" w:type="dxa"/>
              <w:left w:w="90" w:type="dxa"/>
              <w:right w:w="90" w:type="dxa"/>
            </w:tcMar>
          </w:tcPr>
          <w:p>
            <w:pPr>
              <w:jc w:val="right"/>
            </w:pPr>
            <w:r>
              <w:rPr>
                <w:rFonts w:ascii="Calibri" w:hAnsi="Calibri"/>
                <w:sz w:val="17"/>
              </w:rPr>
              <w:t>13.68%</w:t>
            </w:r>
          </w:p>
        </w:tc>
        <w:tc>
          <w:tcPr>
            <w:tcW w:type="dxa" w:w="1440"/>
            <w:shd w:fill="FFFFFF"/>
            <w:tcMar>
              <w:top w:w="80" w:type="dxa"/>
              <w:bottom w:w="80" w:type="dxa"/>
              <w:left w:w="90" w:type="dxa"/>
              <w:right w:w="90" w:type="dxa"/>
            </w:tcMar>
          </w:tcPr>
          <w:p>
            <w:pPr>
              <w:jc w:val="right"/>
            </w:pPr>
            <w:r>
              <w:rPr>
                <w:rFonts w:ascii="Calibri" w:hAnsi="Calibri"/>
                <w:color w:val="1E7E34"/>
                <w:sz w:val="17"/>
              </w:rPr>
              <w:t>+2.7% MoM (+36 bps)</w:t>
            </w:r>
          </w:p>
        </w:tc>
        <w:tc>
          <w:tcPr>
            <w:tcW w:type="dxa" w:w="3024"/>
            <w:shd w:fill="FFFFFF"/>
            <w:tcMar>
              <w:top w:w="80" w:type="dxa"/>
              <w:bottom w:w="80" w:type="dxa"/>
              <w:left w:w="90" w:type="dxa"/>
              <w:right w:w="90" w:type="dxa"/>
            </w:tcMar>
          </w:tcPr>
          <w:p>
            <w:pPr>
              <w:jc w:val="left"/>
            </w:pPr>
            <w:r>
              <w:rPr>
                <w:rFonts w:ascii="Calibri" w:hAnsi="Calibri"/>
                <w:sz w:val="17"/>
              </w:rPr>
              <w:t>Average borrower monthly debt commitments divided by gross monthly income.</w:t>
            </w:r>
          </w:p>
        </w:tc>
      </w:tr>
      <w:tr>
        <w:tc>
          <w:tcPr>
            <w:tcW w:type="dxa" w:w="2592"/>
            <w:shd w:fill="F4F6F9"/>
            <w:tcMar>
              <w:top w:w="80" w:type="dxa"/>
              <w:bottom w:w="80" w:type="dxa"/>
              <w:left w:w="90" w:type="dxa"/>
              <w:right w:w="90" w:type="dxa"/>
            </w:tcMar>
          </w:tcPr>
          <w:p>
            <w:pPr>
              <w:jc w:val="left"/>
            </w:pPr>
            <w:r>
              <w:rPr>
                <w:rFonts w:ascii="Calibri" w:hAnsi="Calibri"/>
                <w:b/>
                <w:color w:val="1B365D"/>
                <w:sz w:val="17"/>
              </w:rPr>
              <w:t>Good Loan %</w:t>
            </w:r>
          </w:p>
        </w:tc>
        <w:tc>
          <w:tcPr>
            <w:tcW w:type="dxa" w:w="1584"/>
            <w:shd w:fill="F4F6F9"/>
            <w:tcMar>
              <w:top w:w="80" w:type="dxa"/>
              <w:bottom w:w="80" w:type="dxa"/>
              <w:left w:w="90" w:type="dxa"/>
              <w:right w:w="90" w:type="dxa"/>
            </w:tcMar>
          </w:tcPr>
          <w:p>
            <w:pPr>
              <w:jc w:val="right"/>
            </w:pPr>
            <w:r>
              <w:rPr>
                <w:rFonts w:ascii="Calibri" w:hAnsi="Calibri"/>
                <w:sz w:val="17"/>
              </w:rPr>
              <w:t>86.18%</w:t>
            </w:r>
          </w:p>
        </w:tc>
        <w:tc>
          <w:tcPr>
            <w:tcW w:type="dxa" w:w="1296"/>
            <w:shd w:fill="F4F6F9"/>
            <w:tcMar>
              <w:top w:w="80" w:type="dxa"/>
              <w:bottom w:w="80" w:type="dxa"/>
              <w:left w:w="90" w:type="dxa"/>
              <w:right w:w="90" w:type="dxa"/>
            </w:tcMar>
          </w:tcPr>
          <w:p>
            <w:pPr>
              <w:jc w:val="right"/>
            </w:pPr>
            <w:r>
              <w:rPr>
                <w:rFonts w:ascii="Calibri" w:hAnsi="Calibri"/>
                <w:sz w:val="17"/>
              </w:rPr>
              <w:t>--</w:t>
            </w:r>
          </w:p>
        </w:tc>
        <w:tc>
          <w:tcPr>
            <w:tcW w:type="dxa" w:w="1440"/>
            <w:shd w:fill="F4F6F9"/>
            <w:tcMar>
              <w:top w:w="80" w:type="dxa"/>
              <w:bottom w:w="80" w:type="dxa"/>
              <w:left w:w="90" w:type="dxa"/>
              <w:right w:w="90" w:type="dxa"/>
            </w:tcMar>
          </w:tcPr>
          <w:p>
            <w:pPr>
              <w:jc w:val="right"/>
            </w:pPr>
            <w:r>
              <w:rPr>
                <w:rFonts w:ascii="Calibri" w:hAnsi="Calibri"/>
                <w:sz w:val="17"/>
              </w:rPr>
              <w:t>--</w:t>
            </w:r>
          </w:p>
        </w:tc>
        <w:tc>
          <w:tcPr>
            <w:tcW w:type="dxa" w:w="3024"/>
            <w:shd w:fill="F4F6F9"/>
            <w:tcMar>
              <w:top w:w="80" w:type="dxa"/>
              <w:bottom w:w="80" w:type="dxa"/>
              <w:left w:w="90" w:type="dxa"/>
              <w:right w:w="90" w:type="dxa"/>
            </w:tcMar>
          </w:tcPr>
          <w:p>
            <w:pPr>
              <w:jc w:val="left"/>
            </w:pPr>
            <w:r>
              <w:rPr>
                <w:rFonts w:ascii="Calibri" w:hAnsi="Calibri"/>
                <w:sz w:val="17"/>
              </w:rPr>
              <w:t>Proportion of loans in Fully Paid (32,145) or Current (1,098) standing.</w:t>
            </w:r>
          </w:p>
        </w:tc>
      </w:tr>
      <w:tr>
        <w:tc>
          <w:tcPr>
            <w:tcW w:type="dxa" w:w="2592"/>
            <w:shd w:fill="FFFFFF"/>
            <w:tcMar>
              <w:top w:w="80" w:type="dxa"/>
              <w:bottom w:w="80" w:type="dxa"/>
              <w:left w:w="90" w:type="dxa"/>
              <w:right w:w="90" w:type="dxa"/>
            </w:tcMar>
          </w:tcPr>
          <w:p>
            <w:pPr>
              <w:jc w:val="left"/>
            </w:pPr>
            <w:r>
              <w:rPr>
                <w:rFonts w:ascii="Calibri" w:hAnsi="Calibri"/>
                <w:b/>
                <w:color w:val="1B365D"/>
                <w:sz w:val="17"/>
              </w:rPr>
              <w:t>Good Loan Applications</w:t>
            </w:r>
          </w:p>
        </w:tc>
        <w:tc>
          <w:tcPr>
            <w:tcW w:type="dxa" w:w="1584"/>
            <w:shd w:fill="FFFFFF"/>
            <w:tcMar>
              <w:top w:w="80" w:type="dxa"/>
              <w:bottom w:w="80" w:type="dxa"/>
              <w:left w:w="90" w:type="dxa"/>
              <w:right w:w="90" w:type="dxa"/>
            </w:tcMar>
          </w:tcPr>
          <w:p>
            <w:pPr>
              <w:jc w:val="right"/>
            </w:pPr>
            <w:r>
              <w:rPr>
                <w:rFonts w:ascii="Calibri" w:hAnsi="Calibri"/>
                <w:sz w:val="17"/>
              </w:rPr>
              <w:t>33,243</w:t>
            </w:r>
          </w:p>
        </w:tc>
        <w:tc>
          <w:tcPr>
            <w:tcW w:type="dxa" w:w="1296"/>
            <w:shd w:fill="FFFFFF"/>
            <w:tcMar>
              <w:top w:w="80" w:type="dxa"/>
              <w:bottom w:w="80" w:type="dxa"/>
              <w:left w:w="90" w:type="dxa"/>
              <w:right w:w="90" w:type="dxa"/>
            </w:tcMar>
          </w:tcPr>
          <w:p>
            <w:pPr>
              <w:jc w:val="right"/>
            </w:pPr>
            <w:r>
              <w:rPr>
                <w:rFonts w:ascii="Calibri" w:hAnsi="Calibri"/>
                <w:sz w:val="17"/>
              </w:rPr>
              <w:t>--</w:t>
            </w:r>
          </w:p>
        </w:tc>
        <w:tc>
          <w:tcPr>
            <w:tcW w:type="dxa" w:w="1440"/>
            <w:shd w:fill="FFFFFF"/>
            <w:tcMar>
              <w:top w:w="80" w:type="dxa"/>
              <w:bottom w:w="80" w:type="dxa"/>
              <w:left w:w="90" w:type="dxa"/>
              <w:right w:w="90" w:type="dxa"/>
            </w:tcMar>
          </w:tcPr>
          <w:p>
            <w:pPr>
              <w:jc w:val="right"/>
            </w:pPr>
            <w:r>
              <w:rPr>
                <w:rFonts w:ascii="Calibri" w:hAnsi="Calibri"/>
                <w:sz w:val="17"/>
              </w:rPr>
              <w:t>--</w:t>
            </w:r>
          </w:p>
        </w:tc>
        <w:tc>
          <w:tcPr>
            <w:tcW w:type="dxa" w:w="3024"/>
            <w:shd w:fill="FFFFFF"/>
            <w:tcMar>
              <w:top w:w="80" w:type="dxa"/>
              <w:bottom w:w="80" w:type="dxa"/>
              <w:left w:w="90" w:type="dxa"/>
              <w:right w:w="90" w:type="dxa"/>
            </w:tcMar>
          </w:tcPr>
          <w:p>
            <w:pPr>
              <w:jc w:val="left"/>
            </w:pPr>
            <w:r>
              <w:rPr>
                <w:rFonts w:ascii="Calibri" w:hAnsi="Calibri"/>
                <w:sz w:val="17"/>
              </w:rPr>
              <w:t>Volume of credit facilities demonstrating sound repayment compliance.</w:t>
            </w:r>
          </w:p>
        </w:tc>
      </w:tr>
      <w:tr>
        <w:tc>
          <w:tcPr>
            <w:tcW w:type="dxa" w:w="2592"/>
            <w:shd w:fill="F4F6F9"/>
            <w:tcMar>
              <w:top w:w="80" w:type="dxa"/>
              <w:bottom w:w="80" w:type="dxa"/>
              <w:left w:w="90" w:type="dxa"/>
              <w:right w:w="90" w:type="dxa"/>
            </w:tcMar>
          </w:tcPr>
          <w:p>
            <w:pPr>
              <w:jc w:val="left"/>
            </w:pPr>
            <w:r>
              <w:rPr>
                <w:rFonts w:ascii="Calibri" w:hAnsi="Calibri"/>
                <w:b/>
                <w:color w:val="1B365D"/>
                <w:sz w:val="17"/>
              </w:rPr>
              <w:t>Good Loan Funded Amount</w:t>
            </w:r>
          </w:p>
        </w:tc>
        <w:tc>
          <w:tcPr>
            <w:tcW w:type="dxa" w:w="1584"/>
            <w:shd w:fill="F4F6F9"/>
            <w:tcMar>
              <w:top w:w="80" w:type="dxa"/>
              <w:bottom w:w="80" w:type="dxa"/>
              <w:left w:w="90" w:type="dxa"/>
              <w:right w:w="90" w:type="dxa"/>
            </w:tcMar>
          </w:tcPr>
          <w:p>
            <w:pPr>
              <w:jc w:val="right"/>
            </w:pPr>
            <w:r>
              <w:rPr>
                <w:rFonts w:ascii="Calibri" w:hAnsi="Calibri"/>
                <w:sz w:val="17"/>
              </w:rPr>
              <w:t>$370,224,850 ($370.2M)</w:t>
            </w:r>
          </w:p>
        </w:tc>
        <w:tc>
          <w:tcPr>
            <w:tcW w:type="dxa" w:w="1296"/>
            <w:shd w:fill="F4F6F9"/>
            <w:tcMar>
              <w:top w:w="80" w:type="dxa"/>
              <w:bottom w:w="80" w:type="dxa"/>
              <w:left w:w="90" w:type="dxa"/>
              <w:right w:w="90" w:type="dxa"/>
            </w:tcMar>
          </w:tcPr>
          <w:p>
            <w:pPr>
              <w:jc w:val="right"/>
            </w:pPr>
            <w:r>
              <w:rPr>
                <w:rFonts w:ascii="Calibri" w:hAnsi="Calibri"/>
                <w:sz w:val="17"/>
              </w:rPr>
              <w:t>--</w:t>
            </w:r>
          </w:p>
        </w:tc>
        <w:tc>
          <w:tcPr>
            <w:tcW w:type="dxa" w:w="1440"/>
            <w:shd w:fill="F4F6F9"/>
            <w:tcMar>
              <w:top w:w="80" w:type="dxa"/>
              <w:bottom w:w="80" w:type="dxa"/>
              <w:left w:w="90" w:type="dxa"/>
              <w:right w:w="90" w:type="dxa"/>
            </w:tcMar>
          </w:tcPr>
          <w:p>
            <w:pPr>
              <w:jc w:val="right"/>
            </w:pPr>
            <w:r>
              <w:rPr>
                <w:rFonts w:ascii="Calibri" w:hAnsi="Calibri"/>
                <w:sz w:val="17"/>
              </w:rPr>
              <w:t>--</w:t>
            </w:r>
          </w:p>
        </w:tc>
        <w:tc>
          <w:tcPr>
            <w:tcW w:type="dxa" w:w="3024"/>
            <w:shd w:fill="F4F6F9"/>
            <w:tcMar>
              <w:top w:w="80" w:type="dxa"/>
              <w:bottom w:w="80" w:type="dxa"/>
              <w:left w:w="90" w:type="dxa"/>
              <w:right w:w="90" w:type="dxa"/>
            </w:tcMar>
          </w:tcPr>
          <w:p>
            <w:pPr>
              <w:jc w:val="left"/>
            </w:pPr>
            <w:r>
              <w:rPr>
                <w:rFonts w:ascii="Calibri" w:hAnsi="Calibri"/>
                <w:sz w:val="17"/>
              </w:rPr>
              <w:t>Principal capital committed to active, performing, and completed facilities.</w:t>
            </w:r>
          </w:p>
        </w:tc>
      </w:tr>
      <w:tr>
        <w:tc>
          <w:tcPr>
            <w:tcW w:type="dxa" w:w="2592"/>
            <w:shd w:fill="FFFFFF"/>
            <w:tcMar>
              <w:top w:w="80" w:type="dxa"/>
              <w:bottom w:w="80" w:type="dxa"/>
              <w:left w:w="90" w:type="dxa"/>
              <w:right w:w="90" w:type="dxa"/>
            </w:tcMar>
          </w:tcPr>
          <w:p>
            <w:pPr>
              <w:jc w:val="left"/>
            </w:pPr>
            <w:r>
              <w:rPr>
                <w:rFonts w:ascii="Calibri" w:hAnsi="Calibri"/>
                <w:b/>
                <w:color w:val="1B365D"/>
                <w:sz w:val="17"/>
              </w:rPr>
              <w:t>Good Loan Amount Received</w:t>
            </w:r>
          </w:p>
        </w:tc>
        <w:tc>
          <w:tcPr>
            <w:tcW w:type="dxa" w:w="1584"/>
            <w:shd w:fill="FFFFFF"/>
            <w:tcMar>
              <w:top w:w="80" w:type="dxa"/>
              <w:bottom w:w="80" w:type="dxa"/>
              <w:left w:w="90" w:type="dxa"/>
              <w:right w:w="90" w:type="dxa"/>
            </w:tcMar>
          </w:tcPr>
          <w:p>
            <w:pPr>
              <w:jc w:val="right"/>
            </w:pPr>
            <w:r>
              <w:rPr>
                <w:rFonts w:ascii="Calibri" w:hAnsi="Calibri"/>
                <w:sz w:val="17"/>
              </w:rPr>
              <w:t>$435,785,256 ($435.8M)</w:t>
            </w:r>
          </w:p>
        </w:tc>
        <w:tc>
          <w:tcPr>
            <w:tcW w:type="dxa" w:w="1296"/>
            <w:shd w:fill="FFFFFF"/>
            <w:tcMar>
              <w:top w:w="80" w:type="dxa"/>
              <w:bottom w:w="80" w:type="dxa"/>
              <w:left w:w="90" w:type="dxa"/>
              <w:right w:w="90" w:type="dxa"/>
            </w:tcMar>
          </w:tcPr>
          <w:p>
            <w:pPr>
              <w:jc w:val="right"/>
            </w:pPr>
            <w:r>
              <w:rPr>
                <w:rFonts w:ascii="Calibri" w:hAnsi="Calibri"/>
                <w:sz w:val="17"/>
              </w:rPr>
              <w:t>--</w:t>
            </w:r>
          </w:p>
        </w:tc>
        <w:tc>
          <w:tcPr>
            <w:tcW w:type="dxa" w:w="1440"/>
            <w:shd w:fill="FFFFFF"/>
            <w:tcMar>
              <w:top w:w="80" w:type="dxa"/>
              <w:bottom w:w="80" w:type="dxa"/>
              <w:left w:w="90" w:type="dxa"/>
              <w:right w:w="90" w:type="dxa"/>
            </w:tcMar>
          </w:tcPr>
          <w:p>
            <w:pPr>
              <w:jc w:val="right"/>
            </w:pPr>
            <w:r>
              <w:rPr>
                <w:rFonts w:ascii="Calibri" w:hAnsi="Calibri"/>
                <w:sz w:val="17"/>
              </w:rPr>
              <w:t>--</w:t>
            </w:r>
          </w:p>
        </w:tc>
        <w:tc>
          <w:tcPr>
            <w:tcW w:type="dxa" w:w="3024"/>
            <w:shd w:fill="FFFFFF"/>
            <w:tcMar>
              <w:top w:w="80" w:type="dxa"/>
              <w:bottom w:w="80" w:type="dxa"/>
              <w:left w:w="90" w:type="dxa"/>
              <w:right w:w="90" w:type="dxa"/>
            </w:tcMar>
          </w:tcPr>
          <w:p>
            <w:pPr>
              <w:jc w:val="left"/>
            </w:pPr>
            <w:r>
              <w:rPr>
                <w:rFonts w:ascii="Calibri" w:hAnsi="Calibri"/>
                <w:sz w:val="17"/>
              </w:rPr>
              <w:t>Total cash collected from good loans, yielding an operational surplus of +$65.6M over funded principal.</w:t>
            </w:r>
          </w:p>
        </w:tc>
      </w:tr>
      <w:tr>
        <w:tc>
          <w:tcPr>
            <w:tcW w:type="dxa" w:w="2592"/>
            <w:shd w:fill="F4F6F9"/>
            <w:tcMar>
              <w:top w:w="80" w:type="dxa"/>
              <w:bottom w:w="80" w:type="dxa"/>
              <w:left w:w="90" w:type="dxa"/>
              <w:right w:w="90" w:type="dxa"/>
            </w:tcMar>
          </w:tcPr>
          <w:p>
            <w:pPr>
              <w:jc w:val="left"/>
            </w:pPr>
            <w:r>
              <w:rPr>
                <w:rFonts w:ascii="Calibri" w:hAnsi="Calibri"/>
                <w:b/>
                <w:color w:val="1B365D"/>
                <w:sz w:val="17"/>
              </w:rPr>
              <w:t>Bad Loan %</w:t>
            </w:r>
          </w:p>
        </w:tc>
        <w:tc>
          <w:tcPr>
            <w:tcW w:type="dxa" w:w="1584"/>
            <w:shd w:fill="F4F6F9"/>
            <w:tcMar>
              <w:top w:w="80" w:type="dxa"/>
              <w:bottom w:w="80" w:type="dxa"/>
              <w:left w:w="90" w:type="dxa"/>
              <w:right w:w="90" w:type="dxa"/>
            </w:tcMar>
          </w:tcPr>
          <w:p>
            <w:pPr>
              <w:jc w:val="right"/>
            </w:pPr>
            <w:r>
              <w:rPr>
                <w:rFonts w:ascii="Calibri" w:hAnsi="Calibri"/>
                <w:sz w:val="17"/>
              </w:rPr>
              <w:t>13.82%</w:t>
            </w:r>
          </w:p>
        </w:tc>
        <w:tc>
          <w:tcPr>
            <w:tcW w:type="dxa" w:w="1296"/>
            <w:shd w:fill="F4F6F9"/>
            <w:tcMar>
              <w:top w:w="80" w:type="dxa"/>
              <w:bottom w:w="80" w:type="dxa"/>
              <w:left w:w="90" w:type="dxa"/>
              <w:right w:w="90" w:type="dxa"/>
            </w:tcMar>
          </w:tcPr>
          <w:p>
            <w:pPr>
              <w:jc w:val="right"/>
            </w:pPr>
            <w:r>
              <w:rPr>
                <w:rFonts w:ascii="Calibri" w:hAnsi="Calibri"/>
                <w:sz w:val="17"/>
              </w:rPr>
              <w:t>--</w:t>
            </w:r>
          </w:p>
        </w:tc>
        <w:tc>
          <w:tcPr>
            <w:tcW w:type="dxa" w:w="1440"/>
            <w:shd w:fill="F4F6F9"/>
            <w:tcMar>
              <w:top w:w="80" w:type="dxa"/>
              <w:bottom w:w="80" w:type="dxa"/>
              <w:left w:w="90" w:type="dxa"/>
              <w:right w:w="90" w:type="dxa"/>
            </w:tcMar>
          </w:tcPr>
          <w:p>
            <w:pPr>
              <w:jc w:val="right"/>
            </w:pPr>
            <w:r>
              <w:rPr>
                <w:rFonts w:ascii="Calibri" w:hAnsi="Calibri"/>
                <w:sz w:val="17"/>
              </w:rPr>
              <w:t>--</w:t>
            </w:r>
          </w:p>
        </w:tc>
        <w:tc>
          <w:tcPr>
            <w:tcW w:type="dxa" w:w="3024"/>
            <w:shd w:fill="F4F6F9"/>
            <w:tcMar>
              <w:top w:w="80" w:type="dxa"/>
              <w:bottom w:w="80" w:type="dxa"/>
              <w:left w:w="90" w:type="dxa"/>
              <w:right w:w="90" w:type="dxa"/>
            </w:tcMar>
          </w:tcPr>
          <w:p>
            <w:pPr>
              <w:jc w:val="left"/>
            </w:pPr>
            <w:r>
              <w:rPr>
                <w:rFonts w:ascii="Calibri" w:hAnsi="Calibri"/>
                <w:sz w:val="17"/>
              </w:rPr>
              <w:t>Proportion of originated loans categorized as Charged Off (irrecoverable/severely delinquent).</w:t>
            </w:r>
          </w:p>
        </w:tc>
      </w:tr>
      <w:tr>
        <w:tc>
          <w:tcPr>
            <w:tcW w:type="dxa" w:w="2592"/>
            <w:shd w:fill="FFFFFF"/>
            <w:tcMar>
              <w:top w:w="80" w:type="dxa"/>
              <w:bottom w:w="80" w:type="dxa"/>
              <w:left w:w="90" w:type="dxa"/>
              <w:right w:w="90" w:type="dxa"/>
            </w:tcMar>
          </w:tcPr>
          <w:p>
            <w:pPr>
              <w:jc w:val="left"/>
            </w:pPr>
            <w:r>
              <w:rPr>
                <w:rFonts w:ascii="Calibri" w:hAnsi="Calibri"/>
                <w:b/>
                <w:color w:val="1B365D"/>
                <w:sz w:val="17"/>
              </w:rPr>
              <w:t>Bad Loan Applications</w:t>
            </w:r>
          </w:p>
        </w:tc>
        <w:tc>
          <w:tcPr>
            <w:tcW w:type="dxa" w:w="1584"/>
            <w:shd w:fill="FFFFFF"/>
            <w:tcMar>
              <w:top w:w="80" w:type="dxa"/>
              <w:bottom w:w="80" w:type="dxa"/>
              <w:left w:w="90" w:type="dxa"/>
              <w:right w:w="90" w:type="dxa"/>
            </w:tcMar>
          </w:tcPr>
          <w:p>
            <w:pPr>
              <w:jc w:val="right"/>
            </w:pPr>
            <w:r>
              <w:rPr>
                <w:rFonts w:ascii="Calibri" w:hAnsi="Calibri"/>
                <w:sz w:val="17"/>
              </w:rPr>
              <w:t>5,333</w:t>
            </w:r>
          </w:p>
        </w:tc>
        <w:tc>
          <w:tcPr>
            <w:tcW w:type="dxa" w:w="1296"/>
            <w:shd w:fill="FFFFFF"/>
            <w:tcMar>
              <w:top w:w="80" w:type="dxa"/>
              <w:bottom w:w="80" w:type="dxa"/>
              <w:left w:w="90" w:type="dxa"/>
              <w:right w:w="90" w:type="dxa"/>
            </w:tcMar>
          </w:tcPr>
          <w:p>
            <w:pPr>
              <w:jc w:val="right"/>
            </w:pPr>
            <w:r>
              <w:rPr>
                <w:rFonts w:ascii="Calibri" w:hAnsi="Calibri"/>
                <w:sz w:val="17"/>
              </w:rPr>
              <w:t>--</w:t>
            </w:r>
          </w:p>
        </w:tc>
        <w:tc>
          <w:tcPr>
            <w:tcW w:type="dxa" w:w="1440"/>
            <w:shd w:fill="FFFFFF"/>
            <w:tcMar>
              <w:top w:w="80" w:type="dxa"/>
              <w:bottom w:w="80" w:type="dxa"/>
              <w:left w:w="90" w:type="dxa"/>
              <w:right w:w="90" w:type="dxa"/>
            </w:tcMar>
          </w:tcPr>
          <w:p>
            <w:pPr>
              <w:jc w:val="right"/>
            </w:pPr>
            <w:r>
              <w:rPr>
                <w:rFonts w:ascii="Calibri" w:hAnsi="Calibri"/>
                <w:sz w:val="17"/>
              </w:rPr>
              <w:t>--</w:t>
            </w:r>
          </w:p>
        </w:tc>
        <w:tc>
          <w:tcPr>
            <w:tcW w:type="dxa" w:w="3024"/>
            <w:shd w:fill="FFFFFF"/>
            <w:tcMar>
              <w:top w:w="80" w:type="dxa"/>
              <w:bottom w:w="80" w:type="dxa"/>
              <w:left w:w="90" w:type="dxa"/>
              <w:right w:w="90" w:type="dxa"/>
            </w:tcMar>
          </w:tcPr>
          <w:p>
            <w:pPr>
              <w:jc w:val="left"/>
            </w:pPr>
            <w:r>
              <w:rPr>
                <w:rFonts w:ascii="Calibri" w:hAnsi="Calibri"/>
                <w:sz w:val="17"/>
              </w:rPr>
              <w:t>Count of borrower defaults requiring loss recognition and collections processing.</w:t>
            </w:r>
          </w:p>
        </w:tc>
      </w:tr>
      <w:tr>
        <w:tc>
          <w:tcPr>
            <w:tcW w:type="dxa" w:w="2592"/>
            <w:shd w:fill="F4F6F9"/>
            <w:tcMar>
              <w:top w:w="80" w:type="dxa"/>
              <w:bottom w:w="80" w:type="dxa"/>
              <w:left w:w="90" w:type="dxa"/>
              <w:right w:w="90" w:type="dxa"/>
            </w:tcMar>
          </w:tcPr>
          <w:p>
            <w:pPr>
              <w:jc w:val="left"/>
            </w:pPr>
            <w:r>
              <w:rPr>
                <w:rFonts w:ascii="Calibri" w:hAnsi="Calibri"/>
                <w:b/>
                <w:color w:val="1B365D"/>
                <w:sz w:val="17"/>
              </w:rPr>
              <w:t>Bad Loan Funded Amount</w:t>
            </w:r>
          </w:p>
        </w:tc>
        <w:tc>
          <w:tcPr>
            <w:tcW w:type="dxa" w:w="1584"/>
            <w:shd w:fill="F4F6F9"/>
            <w:tcMar>
              <w:top w:w="80" w:type="dxa"/>
              <w:bottom w:w="80" w:type="dxa"/>
              <w:left w:w="90" w:type="dxa"/>
              <w:right w:w="90" w:type="dxa"/>
            </w:tcMar>
          </w:tcPr>
          <w:p>
            <w:pPr>
              <w:jc w:val="right"/>
            </w:pPr>
            <w:r>
              <w:rPr>
                <w:rFonts w:ascii="Calibri" w:hAnsi="Calibri"/>
                <w:sz w:val="17"/>
              </w:rPr>
              <w:t>$65,532,225 ($65.5M)</w:t>
            </w:r>
          </w:p>
        </w:tc>
        <w:tc>
          <w:tcPr>
            <w:tcW w:type="dxa" w:w="1296"/>
            <w:shd w:fill="F4F6F9"/>
            <w:tcMar>
              <w:top w:w="80" w:type="dxa"/>
              <w:bottom w:w="80" w:type="dxa"/>
              <w:left w:w="90" w:type="dxa"/>
              <w:right w:w="90" w:type="dxa"/>
            </w:tcMar>
          </w:tcPr>
          <w:p>
            <w:pPr>
              <w:jc w:val="right"/>
            </w:pPr>
            <w:r>
              <w:rPr>
                <w:rFonts w:ascii="Calibri" w:hAnsi="Calibri"/>
                <w:sz w:val="17"/>
              </w:rPr>
              <w:t>--</w:t>
            </w:r>
          </w:p>
        </w:tc>
        <w:tc>
          <w:tcPr>
            <w:tcW w:type="dxa" w:w="1440"/>
            <w:shd w:fill="F4F6F9"/>
            <w:tcMar>
              <w:top w:w="80" w:type="dxa"/>
              <w:bottom w:w="80" w:type="dxa"/>
              <w:left w:w="90" w:type="dxa"/>
              <w:right w:w="90" w:type="dxa"/>
            </w:tcMar>
          </w:tcPr>
          <w:p>
            <w:pPr>
              <w:jc w:val="right"/>
            </w:pPr>
            <w:r>
              <w:rPr>
                <w:rFonts w:ascii="Calibri" w:hAnsi="Calibri"/>
                <w:sz w:val="17"/>
              </w:rPr>
              <w:t>--</w:t>
            </w:r>
          </w:p>
        </w:tc>
        <w:tc>
          <w:tcPr>
            <w:tcW w:type="dxa" w:w="3024"/>
            <w:shd w:fill="F4F6F9"/>
            <w:tcMar>
              <w:top w:w="80" w:type="dxa"/>
              <w:bottom w:w="80" w:type="dxa"/>
              <w:left w:w="90" w:type="dxa"/>
              <w:right w:w="90" w:type="dxa"/>
            </w:tcMar>
          </w:tcPr>
          <w:p>
            <w:pPr>
              <w:jc w:val="left"/>
            </w:pPr>
            <w:r>
              <w:rPr>
                <w:rFonts w:ascii="Calibri" w:hAnsi="Calibri"/>
                <w:sz w:val="17"/>
              </w:rPr>
              <w:t>Total principal disbursed to accounts that subsequently defaulted.</w:t>
            </w:r>
          </w:p>
        </w:tc>
      </w:tr>
      <w:tr>
        <w:tc>
          <w:tcPr>
            <w:tcW w:type="dxa" w:w="2592"/>
            <w:shd w:fill="FFFFFF"/>
            <w:tcMar>
              <w:top w:w="80" w:type="dxa"/>
              <w:bottom w:w="80" w:type="dxa"/>
              <w:left w:w="90" w:type="dxa"/>
              <w:right w:w="90" w:type="dxa"/>
            </w:tcMar>
          </w:tcPr>
          <w:p>
            <w:pPr>
              <w:jc w:val="left"/>
            </w:pPr>
            <w:r>
              <w:rPr>
                <w:rFonts w:ascii="Calibri" w:hAnsi="Calibri"/>
                <w:b/>
                <w:color w:val="1B365D"/>
                <w:sz w:val="17"/>
              </w:rPr>
              <w:t>Bad Loan Amount Received</w:t>
            </w:r>
          </w:p>
        </w:tc>
        <w:tc>
          <w:tcPr>
            <w:tcW w:type="dxa" w:w="1584"/>
            <w:shd w:fill="FFFFFF"/>
            <w:tcMar>
              <w:top w:w="80" w:type="dxa"/>
              <w:bottom w:w="80" w:type="dxa"/>
              <w:left w:w="90" w:type="dxa"/>
              <w:right w:w="90" w:type="dxa"/>
            </w:tcMar>
          </w:tcPr>
          <w:p>
            <w:pPr>
              <w:jc w:val="right"/>
            </w:pPr>
            <w:r>
              <w:rPr>
                <w:rFonts w:ascii="Calibri" w:hAnsi="Calibri"/>
                <w:sz w:val="17"/>
              </w:rPr>
              <w:t>$37,284,763 ($37.3M)</w:t>
            </w:r>
          </w:p>
        </w:tc>
        <w:tc>
          <w:tcPr>
            <w:tcW w:type="dxa" w:w="1296"/>
            <w:shd w:fill="FFFFFF"/>
            <w:tcMar>
              <w:top w:w="80" w:type="dxa"/>
              <w:bottom w:w="80" w:type="dxa"/>
              <w:left w:w="90" w:type="dxa"/>
              <w:right w:w="90" w:type="dxa"/>
            </w:tcMar>
          </w:tcPr>
          <w:p>
            <w:pPr>
              <w:jc w:val="right"/>
            </w:pPr>
            <w:r>
              <w:rPr>
                <w:rFonts w:ascii="Calibri" w:hAnsi="Calibri"/>
                <w:sz w:val="17"/>
              </w:rPr>
              <w:t>--</w:t>
            </w:r>
          </w:p>
        </w:tc>
        <w:tc>
          <w:tcPr>
            <w:tcW w:type="dxa" w:w="1440"/>
            <w:shd w:fill="FFFFFF"/>
            <w:tcMar>
              <w:top w:w="80" w:type="dxa"/>
              <w:bottom w:w="80" w:type="dxa"/>
              <w:left w:w="90" w:type="dxa"/>
              <w:right w:w="90" w:type="dxa"/>
            </w:tcMar>
          </w:tcPr>
          <w:p>
            <w:pPr>
              <w:jc w:val="right"/>
            </w:pPr>
            <w:r>
              <w:rPr>
                <w:rFonts w:ascii="Calibri" w:hAnsi="Calibri"/>
                <w:sz w:val="17"/>
              </w:rPr>
              <w:t>--</w:t>
            </w:r>
          </w:p>
        </w:tc>
        <w:tc>
          <w:tcPr>
            <w:tcW w:type="dxa" w:w="3024"/>
            <w:shd w:fill="FFFFFF"/>
            <w:tcMar>
              <w:top w:w="80" w:type="dxa"/>
              <w:bottom w:w="80" w:type="dxa"/>
              <w:left w:w="90" w:type="dxa"/>
              <w:right w:w="90" w:type="dxa"/>
            </w:tcMar>
          </w:tcPr>
          <w:p>
            <w:pPr>
              <w:jc w:val="left"/>
            </w:pPr>
            <w:r>
              <w:rPr>
                <w:rFonts w:ascii="Calibri" w:hAnsi="Calibri"/>
                <w:sz w:val="17"/>
              </w:rPr>
              <w:t>Net cash collected prior to charge-off, resulting in a net principal deficit of -$28.25M.</w:t>
            </w:r>
          </w:p>
        </w:tc>
      </w:tr>
    </w:tbl>
    <w:p>
      <w:pPr>
        <w:spacing w:after="80"/>
      </w:pPr>
    </w:p>
    <w:p>
      <w:pPr>
        <w:pStyle w:val="Heading2"/>
        <w:keepNext/>
        <w:spacing w:before="200" w:after="80"/>
      </w:pPr>
      <w:r>
        <w:rPr>
          <w:rFonts w:ascii="Calibri" w:hAnsi="Calibri"/>
          <w:b/>
          <w:color w:val="336699"/>
          <w:sz w:val="26"/>
        </w:rPr>
        <w:t>Loan Status Grid View: Portfolio Status Detail</w:t>
      </w:r>
    </w:p>
    <w:tbl>
      <w:tblPr>
        <w:tblW w:type="auto" w:w="0"/>
        <w:jc w:val="center"/>
        <w:tblLayout w:type="fixed"/>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1242"/>
        <w:gridCol w:w="1242"/>
        <w:gridCol w:w="1242"/>
        <w:gridCol w:w="1242"/>
        <w:gridCol w:w="1242"/>
        <w:gridCol w:w="1242"/>
        <w:gridCol w:w="1242"/>
        <w:gridCol w:w="1242"/>
      </w:tblGrid>
      <w:tr>
        <w:tc>
          <w:tcPr>
            <w:tcW w:type="dxa" w:w="1584"/>
            <w:shd w:fill="336699"/>
            <w:tcMar>
              <w:top w:w="80" w:type="dxa"/>
              <w:bottom w:w="80" w:type="dxa"/>
              <w:left w:w="70" w:type="dxa"/>
              <w:right w:w="70" w:type="dxa"/>
            </w:tcMar>
          </w:tcPr>
          <w:p>
            <w:pPr>
              <w:jc w:val="center"/>
            </w:pPr>
            <w:r>
              <w:rPr>
                <w:rFonts w:ascii="Calibri" w:hAnsi="Calibri"/>
                <w:b/>
                <w:color w:val="FFFFFF"/>
                <w:sz w:val="17"/>
              </w:rPr>
              <w:t>Loan Status</w:t>
            </w:r>
          </w:p>
        </w:tc>
        <w:tc>
          <w:tcPr>
            <w:tcW w:type="dxa" w:w="936"/>
            <w:shd w:fill="336699"/>
            <w:tcMar>
              <w:top w:w="80" w:type="dxa"/>
              <w:bottom w:w="80" w:type="dxa"/>
              <w:left w:w="70" w:type="dxa"/>
              <w:right w:w="70" w:type="dxa"/>
            </w:tcMar>
          </w:tcPr>
          <w:p>
            <w:pPr>
              <w:jc w:val="center"/>
            </w:pPr>
            <w:r>
              <w:rPr>
                <w:rFonts w:ascii="Calibri" w:hAnsi="Calibri"/>
                <w:b/>
                <w:color w:val="FFFFFF"/>
                <w:sz w:val="17"/>
              </w:rPr>
              <w:t>Loans</w:t>
            </w:r>
          </w:p>
        </w:tc>
        <w:tc>
          <w:tcPr>
            <w:tcW w:type="dxa" w:w="1368"/>
            <w:shd w:fill="336699"/>
            <w:tcMar>
              <w:top w:w="80" w:type="dxa"/>
              <w:bottom w:w="80" w:type="dxa"/>
              <w:left w:w="70" w:type="dxa"/>
              <w:right w:w="70" w:type="dxa"/>
            </w:tcMar>
          </w:tcPr>
          <w:p>
            <w:pPr>
              <w:jc w:val="center"/>
            </w:pPr>
            <w:r>
              <w:rPr>
                <w:rFonts w:ascii="Calibri" w:hAnsi="Calibri"/>
                <w:b/>
                <w:color w:val="FFFFFF"/>
                <w:sz w:val="17"/>
              </w:rPr>
              <w:t>Funded ($)</w:t>
            </w:r>
          </w:p>
        </w:tc>
        <w:tc>
          <w:tcPr>
            <w:tcW w:type="dxa" w:w="1368"/>
            <w:shd w:fill="336699"/>
            <w:tcMar>
              <w:top w:w="80" w:type="dxa"/>
              <w:bottom w:w="80" w:type="dxa"/>
              <w:left w:w="70" w:type="dxa"/>
              <w:right w:w="70" w:type="dxa"/>
            </w:tcMar>
          </w:tcPr>
          <w:p>
            <w:pPr>
              <w:jc w:val="center"/>
            </w:pPr>
            <w:r>
              <w:rPr>
                <w:rFonts w:ascii="Calibri" w:hAnsi="Calibri"/>
                <w:b/>
                <w:color w:val="FFFFFF"/>
                <w:sz w:val="17"/>
              </w:rPr>
              <w:t>Received ($)</w:t>
            </w:r>
          </w:p>
        </w:tc>
        <w:tc>
          <w:tcPr>
            <w:tcW w:type="dxa" w:w="1368"/>
            <w:shd w:fill="336699"/>
            <w:tcMar>
              <w:top w:w="80" w:type="dxa"/>
              <w:bottom w:w="80" w:type="dxa"/>
              <w:left w:w="70" w:type="dxa"/>
              <w:right w:w="70" w:type="dxa"/>
            </w:tcMar>
          </w:tcPr>
          <w:p>
            <w:pPr>
              <w:jc w:val="center"/>
            </w:pPr>
            <w:r>
              <w:rPr>
                <w:rFonts w:ascii="Calibri" w:hAnsi="Calibri"/>
                <w:b/>
                <w:color w:val="FFFFFF"/>
                <w:sz w:val="17"/>
              </w:rPr>
              <w:t>MTD Funded ($)</w:t>
            </w:r>
          </w:p>
        </w:tc>
        <w:tc>
          <w:tcPr>
            <w:tcW w:type="dxa" w:w="1368"/>
            <w:shd w:fill="336699"/>
            <w:tcMar>
              <w:top w:w="80" w:type="dxa"/>
              <w:bottom w:w="80" w:type="dxa"/>
              <w:left w:w="70" w:type="dxa"/>
              <w:right w:w="70" w:type="dxa"/>
            </w:tcMar>
          </w:tcPr>
          <w:p>
            <w:pPr>
              <w:jc w:val="center"/>
            </w:pPr>
            <w:r>
              <w:rPr>
                <w:rFonts w:ascii="Calibri" w:hAnsi="Calibri"/>
                <w:b/>
                <w:color w:val="FFFFFF"/>
                <w:sz w:val="17"/>
              </w:rPr>
              <w:t>MTD Rec ($)</w:t>
            </w:r>
          </w:p>
        </w:tc>
        <w:tc>
          <w:tcPr>
            <w:tcW w:type="dxa" w:w="936"/>
            <w:shd w:fill="336699"/>
            <w:tcMar>
              <w:top w:w="80" w:type="dxa"/>
              <w:bottom w:w="80" w:type="dxa"/>
              <w:left w:w="70" w:type="dxa"/>
              <w:right w:w="70" w:type="dxa"/>
            </w:tcMar>
          </w:tcPr>
          <w:p>
            <w:pPr>
              <w:jc w:val="center"/>
            </w:pPr>
            <w:r>
              <w:rPr>
                <w:rFonts w:ascii="Calibri" w:hAnsi="Calibri"/>
                <w:b/>
                <w:color w:val="FFFFFF"/>
                <w:sz w:val="17"/>
              </w:rPr>
              <w:t>Avg Int</w:t>
            </w:r>
          </w:p>
        </w:tc>
        <w:tc>
          <w:tcPr>
            <w:tcW w:type="dxa" w:w="936"/>
            <w:shd w:fill="336699"/>
            <w:tcMar>
              <w:top w:w="80" w:type="dxa"/>
              <w:bottom w:w="80" w:type="dxa"/>
              <w:left w:w="70" w:type="dxa"/>
              <w:right w:w="70" w:type="dxa"/>
            </w:tcMar>
          </w:tcPr>
          <w:p>
            <w:pPr>
              <w:jc w:val="center"/>
            </w:pPr>
            <w:r>
              <w:rPr>
                <w:rFonts w:ascii="Calibri" w:hAnsi="Calibri"/>
                <w:b/>
                <w:color w:val="FFFFFF"/>
                <w:sz w:val="17"/>
              </w:rPr>
              <w:t>Avg DTI</w:t>
            </w:r>
          </w:p>
        </w:tc>
      </w:tr>
      <w:tr>
        <w:tc>
          <w:tcPr>
            <w:tcW w:type="dxa" w:w="1584"/>
            <w:shd w:fill="FFFFFF"/>
            <w:tcMar>
              <w:top w:w="70" w:type="dxa"/>
              <w:bottom w:w="70" w:type="dxa"/>
              <w:left w:w="70" w:type="dxa"/>
              <w:right w:w="70" w:type="dxa"/>
            </w:tcMar>
          </w:tcPr>
          <w:p>
            <w:pPr>
              <w:jc w:val="left"/>
            </w:pPr>
            <w:r>
              <w:rPr>
                <w:rFonts w:ascii="Calibri" w:hAnsi="Calibri"/>
                <w:sz w:val="16"/>
              </w:rPr>
              <w:t>Fully Paid</w:t>
            </w:r>
          </w:p>
        </w:tc>
        <w:tc>
          <w:tcPr>
            <w:tcW w:type="dxa" w:w="936"/>
            <w:shd w:fill="FFFFFF"/>
            <w:tcMar>
              <w:top w:w="70" w:type="dxa"/>
              <w:bottom w:w="70" w:type="dxa"/>
              <w:left w:w="70" w:type="dxa"/>
              <w:right w:w="70" w:type="dxa"/>
            </w:tcMar>
          </w:tcPr>
          <w:p>
            <w:pPr>
              <w:jc w:val="right"/>
            </w:pPr>
            <w:r>
              <w:rPr>
                <w:rFonts w:ascii="Calibri" w:hAnsi="Calibri"/>
                <w:sz w:val="16"/>
              </w:rPr>
              <w:t>32,145</w:t>
            </w:r>
          </w:p>
        </w:tc>
        <w:tc>
          <w:tcPr>
            <w:tcW w:type="dxa" w:w="1368"/>
            <w:shd w:fill="FFFFFF"/>
            <w:tcMar>
              <w:top w:w="70" w:type="dxa"/>
              <w:bottom w:w="70" w:type="dxa"/>
              <w:left w:w="70" w:type="dxa"/>
              <w:right w:w="70" w:type="dxa"/>
            </w:tcMar>
          </w:tcPr>
          <w:p>
            <w:pPr>
              <w:jc w:val="right"/>
            </w:pPr>
            <w:r>
              <w:rPr>
                <w:rFonts w:ascii="Calibri" w:hAnsi="Calibri"/>
                <w:sz w:val="16"/>
              </w:rPr>
              <w:t>$351,358,350</w:t>
            </w:r>
          </w:p>
        </w:tc>
        <w:tc>
          <w:tcPr>
            <w:tcW w:type="dxa" w:w="1368"/>
            <w:shd w:fill="FFFFFF"/>
            <w:tcMar>
              <w:top w:w="70" w:type="dxa"/>
              <w:bottom w:w="70" w:type="dxa"/>
              <w:left w:w="70" w:type="dxa"/>
              <w:right w:w="70" w:type="dxa"/>
            </w:tcMar>
          </w:tcPr>
          <w:p>
            <w:pPr>
              <w:jc w:val="right"/>
            </w:pPr>
            <w:r>
              <w:rPr>
                <w:rFonts w:ascii="Calibri" w:hAnsi="Calibri"/>
                <w:sz w:val="16"/>
              </w:rPr>
              <w:t>$411,586,256</w:t>
            </w:r>
          </w:p>
        </w:tc>
        <w:tc>
          <w:tcPr>
            <w:tcW w:type="dxa" w:w="1368"/>
            <w:shd w:fill="FFFFFF"/>
            <w:tcMar>
              <w:top w:w="70" w:type="dxa"/>
              <w:bottom w:w="70" w:type="dxa"/>
              <w:left w:w="70" w:type="dxa"/>
              <w:right w:w="70" w:type="dxa"/>
            </w:tcMar>
          </w:tcPr>
          <w:p>
            <w:pPr>
              <w:jc w:val="right"/>
            </w:pPr>
            <w:r>
              <w:rPr>
                <w:rFonts w:ascii="Calibri" w:hAnsi="Calibri"/>
                <w:sz w:val="16"/>
              </w:rPr>
              <w:t>$41,302,025</w:t>
            </w:r>
          </w:p>
        </w:tc>
        <w:tc>
          <w:tcPr>
            <w:tcW w:type="dxa" w:w="1368"/>
            <w:shd w:fill="FFFFFF"/>
            <w:tcMar>
              <w:top w:w="70" w:type="dxa"/>
              <w:bottom w:w="70" w:type="dxa"/>
              <w:left w:w="70" w:type="dxa"/>
              <w:right w:w="70" w:type="dxa"/>
            </w:tcMar>
          </w:tcPr>
          <w:p>
            <w:pPr>
              <w:jc w:val="right"/>
            </w:pPr>
            <w:r>
              <w:rPr>
                <w:rFonts w:ascii="Calibri" w:hAnsi="Calibri"/>
                <w:sz w:val="16"/>
              </w:rPr>
              <w:t>$47,815,851</w:t>
            </w:r>
          </w:p>
        </w:tc>
        <w:tc>
          <w:tcPr>
            <w:tcW w:type="dxa" w:w="936"/>
            <w:shd w:fill="FFFFFF"/>
            <w:tcMar>
              <w:top w:w="70" w:type="dxa"/>
              <w:bottom w:w="70" w:type="dxa"/>
              <w:left w:w="70" w:type="dxa"/>
              <w:right w:w="70" w:type="dxa"/>
            </w:tcMar>
          </w:tcPr>
          <w:p>
            <w:pPr>
              <w:jc w:val="right"/>
            </w:pPr>
            <w:r>
              <w:rPr>
                <w:rFonts w:ascii="Calibri" w:hAnsi="Calibri"/>
                <w:sz w:val="16"/>
              </w:rPr>
              <w:t>11.64%</w:t>
            </w:r>
          </w:p>
        </w:tc>
        <w:tc>
          <w:tcPr>
            <w:tcW w:type="dxa" w:w="936"/>
            <w:shd w:fill="FFFFFF"/>
            <w:tcMar>
              <w:top w:w="70" w:type="dxa"/>
              <w:bottom w:w="70" w:type="dxa"/>
              <w:left w:w="70" w:type="dxa"/>
              <w:right w:w="70" w:type="dxa"/>
            </w:tcMar>
          </w:tcPr>
          <w:p>
            <w:pPr>
              <w:jc w:val="right"/>
            </w:pPr>
            <w:r>
              <w:rPr>
                <w:rFonts w:ascii="Calibri" w:hAnsi="Calibri"/>
                <w:sz w:val="16"/>
              </w:rPr>
              <w:t>13.17%</w:t>
            </w:r>
          </w:p>
        </w:tc>
      </w:tr>
      <w:tr>
        <w:tc>
          <w:tcPr>
            <w:tcW w:type="dxa" w:w="1584"/>
            <w:shd w:fill="F4F6F9"/>
            <w:tcMar>
              <w:top w:w="70" w:type="dxa"/>
              <w:bottom w:w="70" w:type="dxa"/>
              <w:left w:w="70" w:type="dxa"/>
              <w:right w:w="70" w:type="dxa"/>
            </w:tcMar>
          </w:tcPr>
          <w:p>
            <w:pPr>
              <w:jc w:val="left"/>
            </w:pPr>
            <w:r>
              <w:rPr>
                <w:rFonts w:ascii="Calibri" w:hAnsi="Calibri"/>
                <w:sz w:val="16"/>
              </w:rPr>
              <w:t>Current</w:t>
            </w:r>
          </w:p>
        </w:tc>
        <w:tc>
          <w:tcPr>
            <w:tcW w:type="dxa" w:w="936"/>
            <w:shd w:fill="F4F6F9"/>
            <w:tcMar>
              <w:top w:w="70" w:type="dxa"/>
              <w:bottom w:w="70" w:type="dxa"/>
              <w:left w:w="70" w:type="dxa"/>
              <w:right w:w="70" w:type="dxa"/>
            </w:tcMar>
          </w:tcPr>
          <w:p>
            <w:pPr>
              <w:jc w:val="right"/>
            </w:pPr>
            <w:r>
              <w:rPr>
                <w:rFonts w:ascii="Calibri" w:hAnsi="Calibri"/>
                <w:sz w:val="16"/>
              </w:rPr>
              <w:t>1,098</w:t>
            </w:r>
          </w:p>
        </w:tc>
        <w:tc>
          <w:tcPr>
            <w:tcW w:type="dxa" w:w="1368"/>
            <w:shd w:fill="F4F6F9"/>
            <w:tcMar>
              <w:top w:w="70" w:type="dxa"/>
              <w:bottom w:w="70" w:type="dxa"/>
              <w:left w:w="70" w:type="dxa"/>
              <w:right w:w="70" w:type="dxa"/>
            </w:tcMar>
          </w:tcPr>
          <w:p>
            <w:pPr>
              <w:jc w:val="right"/>
            </w:pPr>
            <w:r>
              <w:rPr>
                <w:rFonts w:ascii="Calibri" w:hAnsi="Calibri"/>
                <w:sz w:val="16"/>
              </w:rPr>
              <w:t>$18,866,500</w:t>
            </w:r>
          </w:p>
        </w:tc>
        <w:tc>
          <w:tcPr>
            <w:tcW w:type="dxa" w:w="1368"/>
            <w:shd w:fill="F4F6F9"/>
            <w:tcMar>
              <w:top w:w="70" w:type="dxa"/>
              <w:bottom w:w="70" w:type="dxa"/>
              <w:left w:w="70" w:type="dxa"/>
              <w:right w:w="70" w:type="dxa"/>
            </w:tcMar>
          </w:tcPr>
          <w:p>
            <w:pPr>
              <w:jc w:val="right"/>
            </w:pPr>
            <w:r>
              <w:rPr>
                <w:rFonts w:ascii="Calibri" w:hAnsi="Calibri"/>
                <w:sz w:val="16"/>
              </w:rPr>
              <w:t>$24,198,999</w:t>
            </w:r>
          </w:p>
        </w:tc>
        <w:tc>
          <w:tcPr>
            <w:tcW w:type="dxa" w:w="1368"/>
            <w:shd w:fill="F4F6F9"/>
            <w:tcMar>
              <w:top w:w="70" w:type="dxa"/>
              <w:bottom w:w="70" w:type="dxa"/>
              <w:left w:w="70" w:type="dxa"/>
              <w:right w:w="70" w:type="dxa"/>
            </w:tcMar>
          </w:tcPr>
          <w:p>
            <w:pPr>
              <w:jc w:val="right"/>
            </w:pPr>
            <w:r>
              <w:rPr>
                <w:rFonts w:ascii="Calibri" w:hAnsi="Calibri"/>
                <w:sz w:val="16"/>
              </w:rPr>
              <w:t>$3,946,625</w:t>
            </w:r>
          </w:p>
        </w:tc>
        <w:tc>
          <w:tcPr>
            <w:tcW w:type="dxa" w:w="1368"/>
            <w:shd w:fill="F4F6F9"/>
            <w:tcMar>
              <w:top w:w="70" w:type="dxa"/>
              <w:bottom w:w="70" w:type="dxa"/>
              <w:left w:w="70" w:type="dxa"/>
              <w:right w:w="70" w:type="dxa"/>
            </w:tcMar>
          </w:tcPr>
          <w:p>
            <w:pPr>
              <w:jc w:val="right"/>
            </w:pPr>
            <w:r>
              <w:rPr>
                <w:rFonts w:ascii="Calibri" w:hAnsi="Calibri"/>
                <w:sz w:val="16"/>
              </w:rPr>
              <w:t>$4,934,318</w:t>
            </w:r>
          </w:p>
        </w:tc>
        <w:tc>
          <w:tcPr>
            <w:tcW w:type="dxa" w:w="936"/>
            <w:shd w:fill="F4F6F9"/>
            <w:tcMar>
              <w:top w:w="70" w:type="dxa"/>
              <w:bottom w:w="70" w:type="dxa"/>
              <w:left w:w="70" w:type="dxa"/>
              <w:right w:w="70" w:type="dxa"/>
            </w:tcMar>
          </w:tcPr>
          <w:p>
            <w:pPr>
              <w:jc w:val="right"/>
            </w:pPr>
            <w:r>
              <w:rPr>
                <w:rFonts w:ascii="Calibri" w:hAnsi="Calibri"/>
                <w:sz w:val="16"/>
              </w:rPr>
              <w:t>15.10%</w:t>
            </w:r>
          </w:p>
        </w:tc>
        <w:tc>
          <w:tcPr>
            <w:tcW w:type="dxa" w:w="936"/>
            <w:shd w:fill="F4F6F9"/>
            <w:tcMar>
              <w:top w:w="70" w:type="dxa"/>
              <w:bottom w:w="70" w:type="dxa"/>
              <w:left w:w="70" w:type="dxa"/>
              <w:right w:w="70" w:type="dxa"/>
            </w:tcMar>
          </w:tcPr>
          <w:p>
            <w:pPr>
              <w:jc w:val="right"/>
            </w:pPr>
            <w:r>
              <w:rPr>
                <w:rFonts w:ascii="Calibri" w:hAnsi="Calibri"/>
                <w:sz w:val="16"/>
              </w:rPr>
              <w:t>14.72%</w:t>
            </w:r>
          </w:p>
        </w:tc>
      </w:tr>
      <w:tr>
        <w:tc>
          <w:tcPr>
            <w:tcW w:type="dxa" w:w="1584"/>
            <w:shd w:fill="FFFFFF"/>
            <w:tcMar>
              <w:top w:w="70" w:type="dxa"/>
              <w:bottom w:w="70" w:type="dxa"/>
              <w:left w:w="70" w:type="dxa"/>
              <w:right w:w="70" w:type="dxa"/>
            </w:tcMar>
          </w:tcPr>
          <w:p>
            <w:pPr>
              <w:jc w:val="left"/>
            </w:pPr>
            <w:r>
              <w:rPr>
                <w:rFonts w:ascii="Calibri" w:hAnsi="Calibri"/>
                <w:b/>
                <w:color w:val="BD2130"/>
                <w:sz w:val="16"/>
              </w:rPr>
              <w:t>Charged Off</w:t>
            </w:r>
          </w:p>
        </w:tc>
        <w:tc>
          <w:tcPr>
            <w:tcW w:type="dxa" w:w="936"/>
            <w:shd w:fill="FFFFFF"/>
            <w:tcMar>
              <w:top w:w="70" w:type="dxa"/>
              <w:bottom w:w="70" w:type="dxa"/>
              <w:left w:w="70" w:type="dxa"/>
              <w:right w:w="70" w:type="dxa"/>
            </w:tcMar>
          </w:tcPr>
          <w:p>
            <w:pPr>
              <w:jc w:val="right"/>
            </w:pPr>
            <w:r>
              <w:rPr>
                <w:rFonts w:ascii="Calibri" w:hAnsi="Calibri"/>
                <w:sz w:val="16"/>
              </w:rPr>
              <w:t>5,333</w:t>
            </w:r>
          </w:p>
        </w:tc>
        <w:tc>
          <w:tcPr>
            <w:tcW w:type="dxa" w:w="1368"/>
            <w:shd w:fill="FFFFFF"/>
            <w:tcMar>
              <w:top w:w="70" w:type="dxa"/>
              <w:bottom w:w="70" w:type="dxa"/>
              <w:left w:w="70" w:type="dxa"/>
              <w:right w:w="70" w:type="dxa"/>
            </w:tcMar>
          </w:tcPr>
          <w:p>
            <w:pPr>
              <w:jc w:val="right"/>
            </w:pPr>
            <w:r>
              <w:rPr>
                <w:rFonts w:ascii="Calibri" w:hAnsi="Calibri"/>
                <w:sz w:val="16"/>
              </w:rPr>
              <w:t>$65,532,225</w:t>
            </w:r>
          </w:p>
        </w:tc>
        <w:tc>
          <w:tcPr>
            <w:tcW w:type="dxa" w:w="1368"/>
            <w:shd w:fill="FFFFFF"/>
            <w:tcMar>
              <w:top w:w="70" w:type="dxa"/>
              <w:bottom w:w="70" w:type="dxa"/>
              <w:left w:w="70" w:type="dxa"/>
              <w:right w:w="70" w:type="dxa"/>
            </w:tcMar>
          </w:tcPr>
          <w:p>
            <w:pPr>
              <w:jc w:val="right"/>
            </w:pPr>
            <w:r>
              <w:rPr>
                <w:rFonts w:ascii="Calibri" w:hAnsi="Calibri"/>
                <w:sz w:val="16"/>
              </w:rPr>
              <w:t>$37,284,763</w:t>
            </w:r>
          </w:p>
        </w:tc>
        <w:tc>
          <w:tcPr>
            <w:tcW w:type="dxa" w:w="1368"/>
            <w:shd w:fill="FFFFFF"/>
            <w:tcMar>
              <w:top w:w="70" w:type="dxa"/>
              <w:bottom w:w="70" w:type="dxa"/>
              <w:left w:w="70" w:type="dxa"/>
              <w:right w:w="70" w:type="dxa"/>
            </w:tcMar>
          </w:tcPr>
          <w:p>
            <w:pPr>
              <w:jc w:val="right"/>
            </w:pPr>
            <w:r>
              <w:rPr>
                <w:rFonts w:ascii="Calibri" w:hAnsi="Calibri"/>
                <w:sz w:val="16"/>
              </w:rPr>
              <w:t>$8,732,775</w:t>
            </w:r>
          </w:p>
        </w:tc>
        <w:tc>
          <w:tcPr>
            <w:tcW w:type="dxa" w:w="1368"/>
            <w:shd w:fill="FFFFFF"/>
            <w:tcMar>
              <w:top w:w="70" w:type="dxa"/>
              <w:bottom w:w="70" w:type="dxa"/>
              <w:left w:w="70" w:type="dxa"/>
              <w:right w:w="70" w:type="dxa"/>
            </w:tcMar>
          </w:tcPr>
          <w:p>
            <w:pPr>
              <w:jc w:val="right"/>
            </w:pPr>
            <w:r>
              <w:rPr>
                <w:rFonts w:ascii="Calibri" w:hAnsi="Calibri"/>
                <w:sz w:val="16"/>
              </w:rPr>
              <w:t>$5,324,211</w:t>
            </w:r>
          </w:p>
        </w:tc>
        <w:tc>
          <w:tcPr>
            <w:tcW w:type="dxa" w:w="936"/>
            <w:shd w:fill="FFFFFF"/>
            <w:tcMar>
              <w:top w:w="70" w:type="dxa"/>
              <w:bottom w:w="70" w:type="dxa"/>
              <w:left w:w="70" w:type="dxa"/>
              <w:right w:w="70" w:type="dxa"/>
            </w:tcMar>
          </w:tcPr>
          <w:p>
            <w:pPr>
              <w:jc w:val="right"/>
            </w:pPr>
            <w:r>
              <w:rPr>
                <w:rFonts w:ascii="Calibri" w:hAnsi="Calibri"/>
                <w:sz w:val="16"/>
              </w:rPr>
              <w:t>13.88%</w:t>
            </w:r>
          </w:p>
        </w:tc>
        <w:tc>
          <w:tcPr>
            <w:tcW w:type="dxa" w:w="936"/>
            <w:shd w:fill="FFFFFF"/>
            <w:tcMar>
              <w:top w:w="70" w:type="dxa"/>
              <w:bottom w:w="70" w:type="dxa"/>
              <w:left w:w="70" w:type="dxa"/>
              <w:right w:w="70" w:type="dxa"/>
            </w:tcMar>
          </w:tcPr>
          <w:p>
            <w:pPr>
              <w:jc w:val="right"/>
            </w:pPr>
            <w:r>
              <w:rPr>
                <w:rFonts w:ascii="Calibri" w:hAnsi="Calibri"/>
                <w:sz w:val="16"/>
              </w:rPr>
              <w:t>14.00%</w:t>
            </w:r>
          </w:p>
        </w:tc>
      </w:tr>
      <w:tr>
        <w:tc>
          <w:tcPr>
            <w:tcW w:type="dxa" w:w="1584"/>
            <w:shd w:fill="E9ECEF"/>
            <w:tcMar>
              <w:top w:w="70" w:type="dxa"/>
              <w:bottom w:w="70" w:type="dxa"/>
              <w:left w:w="70" w:type="dxa"/>
              <w:right w:w="70" w:type="dxa"/>
            </w:tcMar>
          </w:tcPr>
          <w:p>
            <w:pPr>
              <w:jc w:val="left"/>
            </w:pPr>
            <w:r>
              <w:rPr>
                <w:rFonts w:ascii="Calibri" w:hAnsi="Calibri"/>
                <w:b/>
                <w:sz w:val="16"/>
              </w:rPr>
              <w:t>Portfolio Total</w:t>
            </w:r>
          </w:p>
        </w:tc>
        <w:tc>
          <w:tcPr>
            <w:tcW w:type="dxa" w:w="936"/>
            <w:shd w:fill="E9ECEF"/>
            <w:tcMar>
              <w:top w:w="70" w:type="dxa"/>
              <w:bottom w:w="70" w:type="dxa"/>
              <w:left w:w="70" w:type="dxa"/>
              <w:right w:w="70" w:type="dxa"/>
            </w:tcMar>
          </w:tcPr>
          <w:p>
            <w:pPr>
              <w:jc w:val="right"/>
            </w:pPr>
            <w:r>
              <w:rPr>
                <w:rFonts w:ascii="Calibri" w:hAnsi="Calibri"/>
                <w:b/>
                <w:sz w:val="16"/>
              </w:rPr>
              <w:t>38,576</w:t>
            </w:r>
          </w:p>
        </w:tc>
        <w:tc>
          <w:tcPr>
            <w:tcW w:type="dxa" w:w="1368"/>
            <w:shd w:fill="E9ECEF"/>
            <w:tcMar>
              <w:top w:w="70" w:type="dxa"/>
              <w:bottom w:w="70" w:type="dxa"/>
              <w:left w:w="70" w:type="dxa"/>
              <w:right w:w="70" w:type="dxa"/>
            </w:tcMar>
          </w:tcPr>
          <w:p>
            <w:pPr>
              <w:jc w:val="right"/>
            </w:pPr>
            <w:r>
              <w:rPr>
                <w:rFonts w:ascii="Calibri" w:hAnsi="Calibri"/>
                <w:b/>
                <w:sz w:val="16"/>
              </w:rPr>
              <w:t>$435,757,075</w:t>
            </w:r>
          </w:p>
        </w:tc>
        <w:tc>
          <w:tcPr>
            <w:tcW w:type="dxa" w:w="1368"/>
            <w:shd w:fill="E9ECEF"/>
            <w:tcMar>
              <w:top w:w="70" w:type="dxa"/>
              <w:bottom w:w="70" w:type="dxa"/>
              <w:left w:w="70" w:type="dxa"/>
              <w:right w:w="70" w:type="dxa"/>
            </w:tcMar>
          </w:tcPr>
          <w:p>
            <w:pPr>
              <w:jc w:val="right"/>
            </w:pPr>
            <w:r>
              <w:rPr>
                <w:rFonts w:ascii="Calibri" w:hAnsi="Calibri"/>
                <w:b/>
                <w:sz w:val="16"/>
              </w:rPr>
              <w:t>$473,070,019</w:t>
            </w:r>
          </w:p>
        </w:tc>
        <w:tc>
          <w:tcPr>
            <w:tcW w:type="dxa" w:w="1368"/>
            <w:shd w:fill="E9ECEF"/>
            <w:tcMar>
              <w:top w:w="70" w:type="dxa"/>
              <w:bottom w:w="70" w:type="dxa"/>
              <w:left w:w="70" w:type="dxa"/>
              <w:right w:w="70" w:type="dxa"/>
            </w:tcMar>
          </w:tcPr>
          <w:p>
            <w:pPr>
              <w:jc w:val="right"/>
            </w:pPr>
            <w:r>
              <w:rPr>
                <w:rFonts w:ascii="Calibri" w:hAnsi="Calibri"/>
                <w:b/>
                <w:sz w:val="16"/>
              </w:rPr>
              <w:t>$53,981,425</w:t>
            </w:r>
          </w:p>
        </w:tc>
        <w:tc>
          <w:tcPr>
            <w:tcW w:type="dxa" w:w="1368"/>
            <w:shd w:fill="E9ECEF"/>
            <w:tcMar>
              <w:top w:w="70" w:type="dxa"/>
              <w:bottom w:w="70" w:type="dxa"/>
              <w:left w:w="70" w:type="dxa"/>
              <w:right w:w="70" w:type="dxa"/>
            </w:tcMar>
          </w:tcPr>
          <w:p>
            <w:pPr>
              <w:jc w:val="right"/>
            </w:pPr>
            <w:r>
              <w:rPr>
                <w:rFonts w:ascii="Calibri" w:hAnsi="Calibri"/>
                <w:b/>
                <w:sz w:val="16"/>
              </w:rPr>
              <w:t>$58,074,380</w:t>
            </w:r>
          </w:p>
        </w:tc>
        <w:tc>
          <w:tcPr>
            <w:tcW w:type="dxa" w:w="936"/>
            <w:shd w:fill="E9ECEF"/>
            <w:tcMar>
              <w:top w:w="70" w:type="dxa"/>
              <w:bottom w:w="70" w:type="dxa"/>
              <w:left w:w="70" w:type="dxa"/>
              <w:right w:w="70" w:type="dxa"/>
            </w:tcMar>
          </w:tcPr>
          <w:p>
            <w:pPr>
              <w:jc w:val="right"/>
            </w:pPr>
            <w:r>
              <w:rPr>
                <w:rFonts w:ascii="Calibri" w:hAnsi="Calibri"/>
                <w:b/>
                <w:sz w:val="16"/>
              </w:rPr>
              <w:t>12.05%</w:t>
            </w:r>
          </w:p>
        </w:tc>
        <w:tc>
          <w:tcPr>
            <w:tcW w:type="dxa" w:w="936"/>
            <w:shd w:fill="E9ECEF"/>
            <w:tcMar>
              <w:top w:w="70" w:type="dxa"/>
              <w:bottom w:w="70" w:type="dxa"/>
              <w:left w:w="70" w:type="dxa"/>
              <w:right w:w="70" w:type="dxa"/>
            </w:tcMar>
          </w:tcPr>
          <w:p>
            <w:pPr>
              <w:jc w:val="right"/>
            </w:pPr>
            <w:r>
              <w:rPr>
                <w:rFonts w:ascii="Calibri" w:hAnsi="Calibri"/>
                <w:b/>
                <w:sz w:val="16"/>
              </w:rPr>
              <w:t>13.33%</w:t>
            </w:r>
          </w:p>
        </w:tc>
      </w:tr>
    </w:tbl>
    <w:p>
      <w:r>
        <w:br w:type="page"/>
      </w:r>
    </w:p>
    <w:p>
      <w:pPr>
        <w:pStyle w:val="Heading1"/>
        <w:keepNext/>
        <w:spacing w:before="280" w:after="80"/>
      </w:pPr>
      <w:r>
        <w:rPr>
          <w:rFonts w:ascii="Calibri" w:hAnsi="Calibri"/>
          <w:b/>
          <w:color w:val="1B365D"/>
          <w:sz w:val="32"/>
        </w:rPr>
        <w:t>Section 3: Client Questions &amp; Visual Answers (20 Detailed Scenarios)</w:t>
      </w:r>
    </w:p>
    <w:p>
      <w:r>
        <w:t>This section delivers 20 rigorous analytical scenarios mirroring realistic client inquiries posed by ApexBank executive leadership. Each scenario maps an executive question directly to a Power BI visualization, provides precise empirical figures from the cleaned dataset, synthesizes commercial risk implications, and prescribes operational underwriting interventions.</w:t>
      </w:r>
    </w:p>
    <w:p>
      <w:pPr>
        <w:keepNext/>
        <w:spacing w:before="160" w:after="40"/>
      </w:pPr>
      <w:r>
        <w:rPr>
          <w:rFonts w:ascii="Calibri" w:hAnsi="Calibri"/>
          <w:b/>
          <w:color w:val="1B365D"/>
          <w:sz w:val="22"/>
        </w:rPr>
        <w:t>Question 1: How healthy is our overall loan portfolio, and what share of total volume is at risk?</w:t>
      </w:r>
    </w:p>
    <w:tbl>
      <w:tblPr>
        <w:tblW w:type="auto" w:w="0"/>
        <w:jc w:val="center"/>
        <w:tblLayout w:type="fixed"/>
        <w:tblLook w:firstColumn="1" w:firstRow="1" w:lastColumn="0" w:lastRow="0" w:noHBand="0" w:noVBand="1" w:val="04A0"/>
        <w:tblBorders>
          <w:top w:val="single" w:sz="4" w:space="0" w:color="E5E7EB"/>
          <w:bottom w:val="single" w:sz="4" w:space="0" w:color="E5E7EB"/>
          <w:left w:val="none"/>
          <w:right w:val="none"/>
          <w:insideH w:val="single" w:sz="4" w:space="0" w:color="E5E7EB"/>
          <w:insideV w:val="none"/>
        </w:tblBorders>
      </w:tblPr>
      <w:tblGrid>
        <w:gridCol w:w="2304"/>
        <w:gridCol w:w="7632"/>
      </w:tblGrid>
      <w:tr>
        <w:tc>
          <w:tcPr>
            <w:tcW w:type="dxa" w:w="4968"/>
            <w:shd w:fill="F4F6F9"/>
            <w:tcMar>
              <w:top w:w="60" w:type="dxa"/>
              <w:bottom w:w="60" w:type="dxa"/>
              <w:left w:w="80" w:type="dxa"/>
              <w:right w:w="80" w:type="dxa"/>
            </w:tcMar>
          </w:tcPr>
          <w:p>
            <w:pPr>
              <w:spacing w:before="0" w:after="0"/>
            </w:pPr>
            <w:r>
              <w:rPr>
                <w:rFonts w:ascii="Calibri" w:hAnsi="Calibri"/>
                <w:b/>
                <w:color w:val="336699"/>
                <w:sz w:val="17"/>
              </w:rPr>
              <w:t>Visualization Used</w:t>
            </w:r>
          </w:p>
        </w:tc>
        <w:tc>
          <w:tcPr>
            <w:tcW w:type="dxa" w:w="4968"/>
            <w:tcMar>
              <w:top w:w="60" w:type="dxa"/>
              <w:bottom w:w="60" w:type="dxa"/>
              <w:left w:w="80" w:type="dxa"/>
              <w:right w:w="80" w:type="dxa"/>
            </w:tcMar>
          </w:tcPr>
          <w:p>
            <w:pPr>
              <w:spacing w:before="0" w:after="0"/>
            </w:pPr>
            <w:r>
              <w:rPr>
                <w:rFonts w:ascii="Calibri" w:hAnsi="Calibri"/>
                <w:color w:val="222222"/>
                <w:sz w:val="17"/>
              </w:rPr>
              <w:t>Good Loan vs. Bad Loan KPI Donut Chart &amp; Portfolio Status Summary Cards</w:t>
            </w:r>
          </w:p>
        </w:tc>
      </w:tr>
      <w:tr>
        <w:tc>
          <w:tcPr>
            <w:tcW w:type="dxa" w:w="4968"/>
            <w:shd w:fill="F4F6F9"/>
            <w:tcMar>
              <w:top w:w="60" w:type="dxa"/>
              <w:bottom w:w="60" w:type="dxa"/>
              <w:left w:w="80" w:type="dxa"/>
              <w:right w:w="80" w:type="dxa"/>
            </w:tcMar>
          </w:tcPr>
          <w:p>
            <w:pPr>
              <w:spacing w:before="0" w:after="0"/>
            </w:pPr>
            <w:r>
              <w:rPr>
                <w:rFonts w:ascii="Calibri" w:hAnsi="Calibri"/>
                <w:b/>
                <w:color w:val="336699"/>
                <w:sz w:val="17"/>
              </w:rPr>
              <w:t>Actual Dataset Answer</w:t>
            </w:r>
          </w:p>
        </w:tc>
        <w:tc>
          <w:tcPr>
            <w:tcW w:type="dxa" w:w="4968"/>
            <w:tcMar>
              <w:top w:w="60" w:type="dxa"/>
              <w:bottom w:w="60" w:type="dxa"/>
              <w:left w:w="80" w:type="dxa"/>
              <w:right w:w="80" w:type="dxa"/>
            </w:tcMar>
          </w:tcPr>
          <w:p>
            <w:pPr>
              <w:spacing w:before="0" w:after="0"/>
            </w:pPr>
            <w:r>
              <w:rPr>
                <w:rFonts w:ascii="Calibri" w:hAnsi="Calibri"/>
                <w:color w:val="222222"/>
                <w:sz w:val="17"/>
              </w:rPr>
              <w:t>The loan portfolio demonstrates robust baseline health, with 86.18% classified as Good Loans (33,243 applications totaling $370.2M in funded principal) and 13.82% classified as Bad Loans (5,333 charged-off applications totaling $65.5M).</w:t>
            </w:r>
          </w:p>
        </w:tc>
      </w:tr>
      <w:tr>
        <w:tc>
          <w:tcPr>
            <w:tcW w:type="dxa" w:w="4968"/>
            <w:shd w:fill="F4F6F9"/>
            <w:tcMar>
              <w:top w:w="60" w:type="dxa"/>
              <w:bottom w:w="60" w:type="dxa"/>
              <w:left w:w="80" w:type="dxa"/>
              <w:right w:w="80" w:type="dxa"/>
            </w:tcMar>
          </w:tcPr>
          <w:p>
            <w:pPr>
              <w:spacing w:before="0" w:after="0"/>
            </w:pPr>
            <w:r>
              <w:rPr>
                <w:rFonts w:ascii="Calibri" w:hAnsi="Calibri"/>
                <w:b/>
                <w:color w:val="336699"/>
                <w:sz w:val="17"/>
              </w:rPr>
              <w:t>Business Interpretation</w:t>
            </w:r>
          </w:p>
        </w:tc>
        <w:tc>
          <w:tcPr>
            <w:tcW w:type="dxa" w:w="4968"/>
            <w:tcMar>
              <w:top w:w="60" w:type="dxa"/>
              <w:bottom w:w="60" w:type="dxa"/>
              <w:left w:w="80" w:type="dxa"/>
              <w:right w:w="80" w:type="dxa"/>
            </w:tcMar>
          </w:tcPr>
          <w:p>
            <w:pPr>
              <w:spacing w:before="0" w:after="0"/>
            </w:pPr>
            <w:r>
              <w:rPr>
                <w:rFonts w:ascii="Calibri" w:hAnsi="Calibri"/>
                <w:color w:val="222222"/>
                <w:sz w:val="17"/>
              </w:rPr>
              <w:t>ApexBank maintains an 86.2% asset performing rate, exceeding typical subprime peer benchmarks of 80-82%. However, the 13.82% default rate locks up $65.5M in non-performing assets, eroding gross yield margins.</w:t>
            </w:r>
          </w:p>
        </w:tc>
      </w:tr>
      <w:tr>
        <w:tc>
          <w:tcPr>
            <w:tcW w:type="dxa" w:w="4968"/>
            <w:shd w:fill="F4F6F9"/>
            <w:tcMar>
              <w:top w:w="60" w:type="dxa"/>
              <w:bottom w:w="60" w:type="dxa"/>
              <w:left w:w="80" w:type="dxa"/>
              <w:right w:w="80" w:type="dxa"/>
            </w:tcMar>
          </w:tcPr>
          <w:p>
            <w:pPr>
              <w:spacing w:before="0" w:after="0"/>
            </w:pPr>
            <w:r>
              <w:rPr>
                <w:rFonts w:ascii="Calibri" w:hAnsi="Calibri"/>
                <w:b/>
                <w:color w:val="336699"/>
                <w:sz w:val="17"/>
              </w:rPr>
              <w:t>Analyst Recommendation</w:t>
            </w:r>
          </w:p>
        </w:tc>
        <w:tc>
          <w:tcPr>
            <w:tcW w:type="dxa" w:w="4968"/>
            <w:tcMar>
              <w:top w:w="60" w:type="dxa"/>
              <w:bottom w:w="60" w:type="dxa"/>
              <w:left w:w="80" w:type="dxa"/>
              <w:right w:w="80" w:type="dxa"/>
            </w:tcMar>
          </w:tcPr>
          <w:p>
            <w:pPr>
              <w:spacing w:before="0" w:after="0"/>
            </w:pPr>
            <w:r>
              <w:rPr>
                <w:rFonts w:ascii="Calibri" w:hAnsi="Calibri"/>
                <w:color w:val="222222"/>
                <w:sz w:val="17"/>
              </w:rPr>
              <w:t>Establish an institutional early-warning threshold at 14.0% charge-off rate. Apply automated credit score cutoffs to freeze origination for risk sub-segments exhibiting delinquency rates above 15%.</w:t>
            </w:r>
          </w:p>
        </w:tc>
      </w:tr>
    </w:tbl>
    <w:p>
      <w:pPr>
        <w:keepNext/>
        <w:spacing w:before="160" w:after="40"/>
      </w:pPr>
      <w:r>
        <w:rPr>
          <w:rFonts w:ascii="Calibri" w:hAnsi="Calibri"/>
          <w:b/>
          <w:color w:val="1B365D"/>
          <w:sz w:val="22"/>
        </w:rPr>
        <w:t>Question 2: What is the net capital recovery status across performing versus defaulted loans?</w:t>
      </w:r>
    </w:p>
    <w:tbl>
      <w:tblPr>
        <w:tblW w:type="auto" w:w="0"/>
        <w:jc w:val="center"/>
        <w:tblLayout w:type="fixed"/>
        <w:tblLook w:firstColumn="1" w:firstRow="1" w:lastColumn="0" w:lastRow="0" w:noHBand="0" w:noVBand="1" w:val="04A0"/>
        <w:tblBorders>
          <w:top w:val="single" w:sz="4" w:space="0" w:color="E5E7EB"/>
          <w:bottom w:val="single" w:sz="4" w:space="0" w:color="E5E7EB"/>
          <w:left w:val="none"/>
          <w:right w:val="none"/>
          <w:insideH w:val="single" w:sz="4" w:space="0" w:color="E5E7EB"/>
          <w:insideV w:val="none"/>
        </w:tblBorders>
      </w:tblPr>
      <w:tblGrid>
        <w:gridCol w:w="2304"/>
        <w:gridCol w:w="7632"/>
      </w:tblGrid>
      <w:tr>
        <w:tc>
          <w:tcPr>
            <w:tcW w:type="dxa" w:w="4968"/>
            <w:shd w:fill="F4F6F9"/>
            <w:tcMar>
              <w:top w:w="60" w:type="dxa"/>
              <w:bottom w:w="60" w:type="dxa"/>
              <w:left w:w="80" w:type="dxa"/>
              <w:right w:w="80" w:type="dxa"/>
            </w:tcMar>
          </w:tcPr>
          <w:p>
            <w:pPr>
              <w:spacing w:before="0" w:after="0"/>
            </w:pPr>
            <w:r>
              <w:rPr>
                <w:rFonts w:ascii="Calibri" w:hAnsi="Calibri"/>
                <w:b/>
                <w:color w:val="336699"/>
                <w:sz w:val="17"/>
              </w:rPr>
              <w:t>Visualization Used</w:t>
            </w:r>
          </w:p>
        </w:tc>
        <w:tc>
          <w:tcPr>
            <w:tcW w:type="dxa" w:w="4968"/>
            <w:tcMar>
              <w:top w:w="60" w:type="dxa"/>
              <w:bottom w:w="60" w:type="dxa"/>
              <w:left w:w="80" w:type="dxa"/>
              <w:right w:w="80" w:type="dxa"/>
            </w:tcMar>
          </w:tcPr>
          <w:p>
            <w:pPr>
              <w:spacing w:before="0" w:after="0"/>
            </w:pPr>
            <w:r>
              <w:rPr>
                <w:rFonts w:ascii="Calibri" w:hAnsi="Calibri"/>
                <w:color w:val="222222"/>
                <w:sz w:val="17"/>
              </w:rPr>
              <w:t>Loan Status Grid View &amp; Funded Amount vs. Amount Received Clustered Bar Chart</w:t>
            </w:r>
          </w:p>
        </w:tc>
      </w:tr>
      <w:tr>
        <w:tc>
          <w:tcPr>
            <w:tcW w:type="dxa" w:w="4968"/>
            <w:shd w:fill="F4F6F9"/>
            <w:tcMar>
              <w:top w:w="60" w:type="dxa"/>
              <w:bottom w:w="60" w:type="dxa"/>
              <w:left w:w="80" w:type="dxa"/>
              <w:right w:w="80" w:type="dxa"/>
            </w:tcMar>
          </w:tcPr>
          <w:p>
            <w:pPr>
              <w:spacing w:before="0" w:after="0"/>
            </w:pPr>
            <w:r>
              <w:rPr>
                <w:rFonts w:ascii="Calibri" w:hAnsi="Calibri"/>
                <w:b/>
                <w:color w:val="336699"/>
                <w:sz w:val="17"/>
              </w:rPr>
              <w:t>Actual Dataset Answer</w:t>
            </w:r>
          </w:p>
        </w:tc>
        <w:tc>
          <w:tcPr>
            <w:tcW w:type="dxa" w:w="4968"/>
            <w:tcMar>
              <w:top w:w="60" w:type="dxa"/>
              <w:bottom w:w="60" w:type="dxa"/>
              <w:left w:w="80" w:type="dxa"/>
              <w:right w:w="80" w:type="dxa"/>
            </w:tcMar>
          </w:tcPr>
          <w:p>
            <w:pPr>
              <w:spacing w:before="0" w:after="0"/>
            </w:pPr>
            <w:r>
              <w:rPr>
                <w:rFonts w:ascii="Calibri" w:hAnsi="Calibri"/>
                <w:color w:val="222222"/>
                <w:sz w:val="17"/>
              </w:rPr>
              <w:t>Across Good Loans, the bank disbursed $370,224,850 and successfully collected $435,785,256, generating a cash surplus of +$65,560,406 (1.177x capital recovery multiple). Conversely, on Bad Loans, the bank funded $65,532,225 but recovered only $37,284,763, creating an unrecovered principal deficit of -$28,247,462 (0.569x recovery multiple).</w:t>
            </w:r>
          </w:p>
        </w:tc>
      </w:tr>
      <w:tr>
        <w:tc>
          <w:tcPr>
            <w:tcW w:type="dxa" w:w="4968"/>
            <w:shd w:fill="F4F6F9"/>
            <w:tcMar>
              <w:top w:w="60" w:type="dxa"/>
              <w:bottom w:w="60" w:type="dxa"/>
              <w:left w:w="80" w:type="dxa"/>
              <w:right w:w="80" w:type="dxa"/>
            </w:tcMar>
          </w:tcPr>
          <w:p>
            <w:pPr>
              <w:spacing w:before="0" w:after="0"/>
            </w:pPr>
            <w:r>
              <w:rPr>
                <w:rFonts w:ascii="Calibri" w:hAnsi="Calibri"/>
                <w:b/>
                <w:color w:val="336699"/>
                <w:sz w:val="17"/>
              </w:rPr>
              <w:t>Business Interpretation</w:t>
            </w:r>
          </w:p>
        </w:tc>
        <w:tc>
          <w:tcPr>
            <w:tcW w:type="dxa" w:w="4968"/>
            <w:tcMar>
              <w:top w:w="60" w:type="dxa"/>
              <w:bottom w:w="60" w:type="dxa"/>
              <w:left w:w="80" w:type="dxa"/>
              <w:right w:w="80" w:type="dxa"/>
            </w:tcMar>
          </w:tcPr>
          <w:p>
            <w:pPr>
              <w:spacing w:before="0" w:after="0"/>
            </w:pPr>
            <w:r>
              <w:rPr>
                <w:rFonts w:ascii="Calibri" w:hAnsi="Calibri"/>
                <w:color w:val="222222"/>
                <w:sz w:val="17"/>
              </w:rPr>
              <w:t>Performing assets generate sufficient interest cash flow (+$65.6M) to comfortably absorb the $28.2M charged-off principal deficit, leaving ApexBank with an overall net cash gain of +$37.31M. Nevertheless, unrecovered charged-off debt is significant.</w:t>
            </w:r>
          </w:p>
        </w:tc>
      </w:tr>
      <w:tr>
        <w:tc>
          <w:tcPr>
            <w:tcW w:type="dxa" w:w="4968"/>
            <w:shd w:fill="F4F6F9"/>
            <w:tcMar>
              <w:top w:w="60" w:type="dxa"/>
              <w:bottom w:w="60" w:type="dxa"/>
              <w:left w:w="80" w:type="dxa"/>
              <w:right w:w="80" w:type="dxa"/>
            </w:tcMar>
          </w:tcPr>
          <w:p>
            <w:pPr>
              <w:spacing w:before="0" w:after="0"/>
            </w:pPr>
            <w:r>
              <w:rPr>
                <w:rFonts w:ascii="Calibri" w:hAnsi="Calibri"/>
                <w:b/>
                <w:color w:val="336699"/>
                <w:sz w:val="17"/>
              </w:rPr>
              <w:t>Analyst Recommendation</w:t>
            </w:r>
          </w:p>
        </w:tc>
        <w:tc>
          <w:tcPr>
            <w:tcW w:type="dxa" w:w="4968"/>
            <w:tcMar>
              <w:top w:w="60" w:type="dxa"/>
              <w:bottom w:w="60" w:type="dxa"/>
              <w:left w:w="80" w:type="dxa"/>
              <w:right w:w="80" w:type="dxa"/>
            </w:tcMar>
          </w:tcPr>
          <w:p>
            <w:pPr>
              <w:spacing w:before="0" w:after="0"/>
            </w:pPr>
            <w:r>
              <w:rPr>
                <w:rFonts w:ascii="Calibri" w:hAnsi="Calibri"/>
                <w:color w:val="222222"/>
                <w:sz w:val="17"/>
              </w:rPr>
              <w:t>Deploy specialized third-party debt recovery units within 60 days of charge-off. Target a 12% improvement in secondary market liquidation recoveries to recapture $3.3M annually.</w:t>
            </w:r>
          </w:p>
        </w:tc>
      </w:tr>
    </w:tbl>
    <w:p>
      <w:pPr>
        <w:keepNext/>
        <w:spacing w:before="160" w:after="40"/>
      </w:pPr>
      <w:r>
        <w:rPr>
          <w:rFonts w:ascii="Calibri" w:hAnsi="Calibri"/>
          <w:b/>
          <w:color w:val="1B365D"/>
          <w:sz w:val="22"/>
        </w:rPr>
        <w:t>Question 3: Which loan term (tenor) carries the highest volume, and how does risk diverge across terms?</w:t>
      </w:r>
    </w:p>
    <w:tbl>
      <w:tblPr>
        <w:tblW w:type="auto" w:w="0"/>
        <w:jc w:val="center"/>
        <w:tblLayout w:type="fixed"/>
        <w:tblLook w:firstColumn="1" w:firstRow="1" w:lastColumn="0" w:lastRow="0" w:noHBand="0" w:noVBand="1" w:val="04A0"/>
        <w:tblBorders>
          <w:top w:val="single" w:sz="4" w:space="0" w:color="E5E7EB"/>
          <w:bottom w:val="single" w:sz="4" w:space="0" w:color="E5E7EB"/>
          <w:left w:val="none"/>
          <w:right w:val="none"/>
          <w:insideH w:val="single" w:sz="4" w:space="0" w:color="E5E7EB"/>
          <w:insideV w:val="none"/>
        </w:tblBorders>
      </w:tblPr>
      <w:tblGrid>
        <w:gridCol w:w="2304"/>
        <w:gridCol w:w="7632"/>
      </w:tblGrid>
      <w:tr>
        <w:tc>
          <w:tcPr>
            <w:tcW w:type="dxa" w:w="4968"/>
            <w:shd w:fill="F4F6F9"/>
            <w:tcMar>
              <w:top w:w="60" w:type="dxa"/>
              <w:bottom w:w="60" w:type="dxa"/>
              <w:left w:w="80" w:type="dxa"/>
              <w:right w:w="80" w:type="dxa"/>
            </w:tcMar>
          </w:tcPr>
          <w:p>
            <w:pPr>
              <w:spacing w:before="0" w:after="0"/>
            </w:pPr>
            <w:r>
              <w:rPr>
                <w:rFonts w:ascii="Calibri" w:hAnsi="Calibri"/>
                <w:b/>
                <w:color w:val="336699"/>
                <w:sz w:val="17"/>
              </w:rPr>
              <w:t>Visualization Used</w:t>
            </w:r>
          </w:p>
        </w:tc>
        <w:tc>
          <w:tcPr>
            <w:tcW w:type="dxa" w:w="4968"/>
            <w:tcMar>
              <w:top w:w="60" w:type="dxa"/>
              <w:bottom w:w="60" w:type="dxa"/>
              <w:left w:w="80" w:type="dxa"/>
              <w:right w:w="80" w:type="dxa"/>
            </w:tcMar>
          </w:tcPr>
          <w:p>
            <w:pPr>
              <w:spacing w:before="0" w:after="0"/>
            </w:pPr>
            <w:r>
              <w:rPr>
                <w:rFonts w:ascii="Calibri" w:hAnsi="Calibri"/>
                <w:color w:val="222222"/>
                <w:sz w:val="17"/>
              </w:rPr>
              <w:t>Loan Term Donut Chart &amp; Tenor Risk Matrix</w:t>
            </w:r>
          </w:p>
        </w:tc>
      </w:tr>
      <w:tr>
        <w:tc>
          <w:tcPr>
            <w:tcW w:type="dxa" w:w="4968"/>
            <w:shd w:fill="F4F6F9"/>
            <w:tcMar>
              <w:top w:w="60" w:type="dxa"/>
              <w:bottom w:w="60" w:type="dxa"/>
              <w:left w:w="80" w:type="dxa"/>
              <w:right w:w="80" w:type="dxa"/>
            </w:tcMar>
          </w:tcPr>
          <w:p>
            <w:pPr>
              <w:spacing w:before="0" w:after="0"/>
            </w:pPr>
            <w:r>
              <w:rPr>
                <w:rFonts w:ascii="Calibri" w:hAnsi="Calibri"/>
                <w:b/>
                <w:color w:val="336699"/>
                <w:sz w:val="17"/>
              </w:rPr>
              <w:t>Actual Dataset Answer</w:t>
            </w:r>
          </w:p>
        </w:tc>
        <w:tc>
          <w:tcPr>
            <w:tcW w:type="dxa" w:w="4968"/>
            <w:tcMar>
              <w:top w:w="60" w:type="dxa"/>
              <w:bottom w:w="60" w:type="dxa"/>
              <w:left w:w="80" w:type="dxa"/>
              <w:right w:w="80" w:type="dxa"/>
            </w:tcMar>
          </w:tcPr>
          <w:p>
            <w:pPr>
              <w:spacing w:before="0" w:after="0"/>
            </w:pPr>
            <w:r>
              <w:rPr>
                <w:rFonts w:ascii="Calibri" w:hAnsi="Calibri"/>
                <w:color w:val="222222"/>
                <w:sz w:val="17"/>
              </w:rPr>
              <w:t>36-month term loans dominate origination, accounting for approximately 73.2% of total volume (~28,237 loans, ~$273M funded), while 60-month term loans account for 26.8% (~10,339 loans, ~$162.7M funded). However, 60-month loans exhibit a default rate of ~22.6%, compared to ~10.6% for 36-month loans.</w:t>
            </w:r>
          </w:p>
        </w:tc>
      </w:tr>
      <w:tr>
        <w:tc>
          <w:tcPr>
            <w:tcW w:type="dxa" w:w="4968"/>
            <w:shd w:fill="F4F6F9"/>
            <w:tcMar>
              <w:top w:w="60" w:type="dxa"/>
              <w:bottom w:w="60" w:type="dxa"/>
              <w:left w:w="80" w:type="dxa"/>
              <w:right w:w="80" w:type="dxa"/>
            </w:tcMar>
          </w:tcPr>
          <w:p>
            <w:pPr>
              <w:spacing w:before="0" w:after="0"/>
            </w:pPr>
            <w:r>
              <w:rPr>
                <w:rFonts w:ascii="Calibri" w:hAnsi="Calibri"/>
                <w:b/>
                <w:color w:val="336699"/>
                <w:sz w:val="17"/>
              </w:rPr>
              <w:t>Business Interpretation</w:t>
            </w:r>
          </w:p>
        </w:tc>
        <w:tc>
          <w:tcPr>
            <w:tcW w:type="dxa" w:w="4968"/>
            <w:tcMar>
              <w:top w:w="60" w:type="dxa"/>
              <w:bottom w:w="60" w:type="dxa"/>
              <w:left w:w="80" w:type="dxa"/>
              <w:right w:w="80" w:type="dxa"/>
            </w:tcMar>
          </w:tcPr>
          <w:p>
            <w:pPr>
              <w:spacing w:before="0" w:after="0"/>
            </w:pPr>
            <w:r>
              <w:rPr>
                <w:rFonts w:ascii="Calibri" w:hAnsi="Calibri"/>
                <w:color w:val="222222"/>
                <w:sz w:val="17"/>
              </w:rPr>
              <w:t>Borrowers committing to 5-year repayment schedules experience substantial risk degradation over time. The 60-month segment carries more than double the default probability of the 3-year term due to prolonged exposure to economic volatility.</w:t>
            </w:r>
          </w:p>
        </w:tc>
      </w:tr>
      <w:tr>
        <w:tc>
          <w:tcPr>
            <w:tcW w:type="dxa" w:w="4968"/>
            <w:shd w:fill="F4F6F9"/>
            <w:tcMar>
              <w:top w:w="60" w:type="dxa"/>
              <w:bottom w:w="60" w:type="dxa"/>
              <w:left w:w="80" w:type="dxa"/>
              <w:right w:w="80" w:type="dxa"/>
            </w:tcMar>
          </w:tcPr>
          <w:p>
            <w:pPr>
              <w:spacing w:before="0" w:after="0"/>
            </w:pPr>
            <w:r>
              <w:rPr>
                <w:rFonts w:ascii="Calibri" w:hAnsi="Calibri"/>
                <w:b/>
                <w:color w:val="336699"/>
                <w:sz w:val="17"/>
              </w:rPr>
              <w:t>Analyst Recommendation</w:t>
            </w:r>
          </w:p>
        </w:tc>
        <w:tc>
          <w:tcPr>
            <w:tcW w:type="dxa" w:w="4968"/>
            <w:tcMar>
              <w:top w:w="60" w:type="dxa"/>
              <w:bottom w:w="60" w:type="dxa"/>
              <w:left w:w="80" w:type="dxa"/>
              <w:right w:w="80" w:type="dxa"/>
            </w:tcMar>
          </w:tcPr>
          <w:p>
            <w:pPr>
              <w:spacing w:before="0" w:after="0"/>
            </w:pPr>
            <w:r>
              <w:rPr>
                <w:rFonts w:ascii="Calibri" w:hAnsi="Calibri"/>
                <w:color w:val="222222"/>
                <w:sz w:val="17"/>
              </w:rPr>
              <w:t>Increase minimum credit score thresholds by 25 points for 60-month applicants, or require a mandatory debt consolidation verification check to approve tenors extending beyond 3 years.</w:t>
            </w:r>
          </w:p>
        </w:tc>
      </w:tr>
    </w:tbl>
    <w:p>
      <w:pPr>
        <w:keepNext/>
        <w:spacing w:before="160" w:after="40"/>
      </w:pPr>
      <w:r>
        <w:rPr>
          <w:rFonts w:ascii="Calibri" w:hAnsi="Calibri"/>
          <w:b/>
          <w:color w:val="1B365D"/>
          <w:sz w:val="22"/>
        </w:rPr>
        <w:t>Question 4: What are our primary loan purposes, and which categories represent the largest capital commitment?</w:t>
      </w:r>
    </w:p>
    <w:tbl>
      <w:tblPr>
        <w:tblW w:type="auto" w:w="0"/>
        <w:jc w:val="center"/>
        <w:tblLayout w:type="fixed"/>
        <w:tblLook w:firstColumn="1" w:firstRow="1" w:lastColumn="0" w:lastRow="0" w:noHBand="0" w:noVBand="1" w:val="04A0"/>
        <w:tblBorders>
          <w:top w:val="single" w:sz="4" w:space="0" w:color="E5E7EB"/>
          <w:bottom w:val="single" w:sz="4" w:space="0" w:color="E5E7EB"/>
          <w:left w:val="none"/>
          <w:right w:val="none"/>
          <w:insideH w:val="single" w:sz="4" w:space="0" w:color="E5E7EB"/>
          <w:insideV w:val="none"/>
        </w:tblBorders>
      </w:tblPr>
      <w:tblGrid>
        <w:gridCol w:w="2304"/>
        <w:gridCol w:w="7632"/>
      </w:tblGrid>
      <w:tr>
        <w:tc>
          <w:tcPr>
            <w:tcW w:type="dxa" w:w="4968"/>
            <w:shd w:fill="F4F6F9"/>
            <w:tcMar>
              <w:top w:w="60" w:type="dxa"/>
              <w:bottom w:w="60" w:type="dxa"/>
              <w:left w:w="80" w:type="dxa"/>
              <w:right w:w="80" w:type="dxa"/>
            </w:tcMar>
          </w:tcPr>
          <w:p>
            <w:pPr>
              <w:spacing w:before="0" w:after="0"/>
            </w:pPr>
            <w:r>
              <w:rPr>
                <w:rFonts w:ascii="Calibri" w:hAnsi="Calibri"/>
                <w:b/>
                <w:color w:val="336699"/>
                <w:sz w:val="17"/>
              </w:rPr>
              <w:t>Visualization Used</w:t>
            </w:r>
          </w:p>
        </w:tc>
        <w:tc>
          <w:tcPr>
            <w:tcW w:type="dxa" w:w="4968"/>
            <w:tcMar>
              <w:top w:w="60" w:type="dxa"/>
              <w:bottom w:w="60" w:type="dxa"/>
              <w:left w:w="80" w:type="dxa"/>
              <w:right w:w="80" w:type="dxa"/>
            </w:tcMar>
          </w:tcPr>
          <w:p>
            <w:pPr>
              <w:spacing w:before="0" w:after="0"/>
            </w:pPr>
            <w:r>
              <w:rPr>
                <w:rFonts w:ascii="Calibri" w:hAnsi="Calibri"/>
                <w:color w:val="222222"/>
                <w:sz w:val="17"/>
              </w:rPr>
              <w:t>Loan Purpose Breakdown Bar Chart</w:t>
            </w:r>
          </w:p>
        </w:tc>
      </w:tr>
      <w:tr>
        <w:tc>
          <w:tcPr>
            <w:tcW w:type="dxa" w:w="4968"/>
            <w:shd w:fill="F4F6F9"/>
            <w:tcMar>
              <w:top w:w="60" w:type="dxa"/>
              <w:bottom w:w="60" w:type="dxa"/>
              <w:left w:w="80" w:type="dxa"/>
              <w:right w:w="80" w:type="dxa"/>
            </w:tcMar>
          </w:tcPr>
          <w:p>
            <w:pPr>
              <w:spacing w:before="0" w:after="0"/>
            </w:pPr>
            <w:r>
              <w:rPr>
                <w:rFonts w:ascii="Calibri" w:hAnsi="Calibri"/>
                <w:b/>
                <w:color w:val="336699"/>
                <w:sz w:val="17"/>
              </w:rPr>
              <w:t>Actual Dataset Answer</w:t>
            </w:r>
          </w:p>
        </w:tc>
        <w:tc>
          <w:tcPr>
            <w:tcW w:type="dxa" w:w="4968"/>
            <w:tcMar>
              <w:top w:w="60" w:type="dxa"/>
              <w:bottom w:w="60" w:type="dxa"/>
              <w:left w:w="80" w:type="dxa"/>
              <w:right w:w="80" w:type="dxa"/>
            </w:tcMar>
          </w:tcPr>
          <w:p>
            <w:pPr>
              <w:spacing w:before="0" w:after="0"/>
            </w:pPr>
            <w:r>
              <w:rPr>
                <w:rFonts w:ascii="Calibri" w:hAnsi="Calibri"/>
                <w:color w:val="222222"/>
                <w:sz w:val="17"/>
              </w:rPr>
              <w:t>Debt consolidation is the predominant driver of borrowing, representing over 47% of total loan volume (~18,214 applications and ~$217M funded principal). Credit card refinancing ranks second (~5,000 applications, ~$60M), followed by home improvement (~2,800 applications), 'other' (~2,300), and small business financing (~1,750 applications).</w:t>
            </w:r>
          </w:p>
        </w:tc>
      </w:tr>
      <w:tr>
        <w:tc>
          <w:tcPr>
            <w:tcW w:type="dxa" w:w="4968"/>
            <w:shd w:fill="F4F6F9"/>
            <w:tcMar>
              <w:top w:w="60" w:type="dxa"/>
              <w:bottom w:w="60" w:type="dxa"/>
              <w:left w:w="80" w:type="dxa"/>
              <w:right w:w="80" w:type="dxa"/>
            </w:tcMar>
          </w:tcPr>
          <w:p>
            <w:pPr>
              <w:spacing w:before="0" w:after="0"/>
            </w:pPr>
            <w:r>
              <w:rPr>
                <w:rFonts w:ascii="Calibri" w:hAnsi="Calibri"/>
                <w:b/>
                <w:color w:val="336699"/>
                <w:sz w:val="17"/>
              </w:rPr>
              <w:t>Business Interpretation</w:t>
            </w:r>
          </w:p>
        </w:tc>
        <w:tc>
          <w:tcPr>
            <w:tcW w:type="dxa" w:w="4968"/>
            <w:tcMar>
              <w:top w:w="60" w:type="dxa"/>
              <w:bottom w:w="60" w:type="dxa"/>
              <w:left w:w="80" w:type="dxa"/>
              <w:right w:w="80" w:type="dxa"/>
            </w:tcMar>
          </w:tcPr>
          <w:p>
            <w:pPr>
              <w:spacing w:before="0" w:after="0"/>
            </w:pPr>
            <w:r>
              <w:rPr>
                <w:rFonts w:ascii="Calibri" w:hAnsi="Calibri"/>
                <w:color w:val="222222"/>
                <w:sz w:val="17"/>
              </w:rPr>
              <w:t>The bank's balance sheet is heavily exposed to consumer debt restructuring. Over 60% of aggregate lending is tied to borrowers attempting to manage existing unsecured liabilities.</w:t>
            </w:r>
          </w:p>
        </w:tc>
      </w:tr>
      <w:tr>
        <w:tc>
          <w:tcPr>
            <w:tcW w:type="dxa" w:w="4968"/>
            <w:shd w:fill="F4F6F9"/>
            <w:tcMar>
              <w:top w:w="60" w:type="dxa"/>
              <w:bottom w:w="60" w:type="dxa"/>
              <w:left w:w="80" w:type="dxa"/>
              <w:right w:w="80" w:type="dxa"/>
            </w:tcMar>
          </w:tcPr>
          <w:p>
            <w:pPr>
              <w:spacing w:before="0" w:after="0"/>
            </w:pPr>
            <w:r>
              <w:rPr>
                <w:rFonts w:ascii="Calibri" w:hAnsi="Calibri"/>
                <w:b/>
                <w:color w:val="336699"/>
                <w:sz w:val="17"/>
              </w:rPr>
              <w:t>Analyst Recommendation</w:t>
            </w:r>
          </w:p>
        </w:tc>
        <w:tc>
          <w:tcPr>
            <w:tcW w:type="dxa" w:w="4968"/>
            <w:tcMar>
              <w:top w:w="60" w:type="dxa"/>
              <w:bottom w:w="60" w:type="dxa"/>
              <w:left w:w="80" w:type="dxa"/>
              <w:right w:w="80" w:type="dxa"/>
            </w:tcMar>
          </w:tcPr>
          <w:p>
            <w:pPr>
              <w:spacing w:before="0" w:after="0"/>
            </w:pPr>
            <w:r>
              <w:rPr>
                <w:rFonts w:ascii="Calibri" w:hAnsi="Calibri"/>
                <w:color w:val="222222"/>
                <w:sz w:val="17"/>
              </w:rPr>
              <w:t>Implement direct-pay settlement protocols for debt consolidation: disburse loan proceeds directly to external creditors rather than distributing cash to borrowers to avoid secondary leverage buildup.</w:t>
            </w:r>
          </w:p>
        </w:tc>
      </w:tr>
    </w:tbl>
    <w:p>
      <w:pPr>
        <w:keepNext/>
        <w:spacing w:before="160" w:after="40"/>
      </w:pPr>
      <w:r>
        <w:rPr>
          <w:rFonts w:ascii="Calibri" w:hAnsi="Calibri"/>
          <w:b/>
          <w:color w:val="1B365D"/>
          <w:sz w:val="22"/>
        </w:rPr>
        <w:t>Question 5: Which loan purpose generates the highest default risk and charge-off concentration?</w:t>
      </w:r>
    </w:p>
    <w:tbl>
      <w:tblPr>
        <w:tblW w:type="auto" w:w="0"/>
        <w:jc w:val="center"/>
        <w:tblLayout w:type="fixed"/>
        <w:tblLook w:firstColumn="1" w:firstRow="1" w:lastColumn="0" w:lastRow="0" w:noHBand="0" w:noVBand="1" w:val="04A0"/>
        <w:tblBorders>
          <w:top w:val="single" w:sz="4" w:space="0" w:color="E5E7EB"/>
          <w:bottom w:val="single" w:sz="4" w:space="0" w:color="E5E7EB"/>
          <w:left w:val="none"/>
          <w:right w:val="none"/>
          <w:insideH w:val="single" w:sz="4" w:space="0" w:color="E5E7EB"/>
          <w:insideV w:val="none"/>
        </w:tblBorders>
      </w:tblPr>
      <w:tblGrid>
        <w:gridCol w:w="2304"/>
        <w:gridCol w:w="7632"/>
      </w:tblGrid>
      <w:tr>
        <w:tc>
          <w:tcPr>
            <w:tcW w:type="dxa" w:w="4968"/>
            <w:shd w:fill="F4F6F9"/>
            <w:tcMar>
              <w:top w:w="60" w:type="dxa"/>
              <w:bottom w:w="60" w:type="dxa"/>
              <w:left w:w="80" w:type="dxa"/>
              <w:right w:w="80" w:type="dxa"/>
            </w:tcMar>
          </w:tcPr>
          <w:p>
            <w:pPr>
              <w:spacing w:before="0" w:after="0"/>
            </w:pPr>
            <w:r>
              <w:rPr>
                <w:rFonts w:ascii="Calibri" w:hAnsi="Calibri"/>
                <w:b/>
                <w:color w:val="336699"/>
                <w:sz w:val="17"/>
              </w:rPr>
              <w:t>Visualization Used</w:t>
            </w:r>
          </w:p>
        </w:tc>
        <w:tc>
          <w:tcPr>
            <w:tcW w:type="dxa" w:w="4968"/>
            <w:tcMar>
              <w:top w:w="60" w:type="dxa"/>
              <w:bottom w:w="60" w:type="dxa"/>
              <w:left w:w="80" w:type="dxa"/>
              <w:right w:w="80" w:type="dxa"/>
            </w:tcMar>
          </w:tcPr>
          <w:p>
            <w:pPr>
              <w:spacing w:before="0" w:after="0"/>
            </w:pPr>
            <w:r>
              <w:rPr>
                <w:rFonts w:ascii="Calibri" w:hAnsi="Calibri"/>
                <w:color w:val="222222"/>
                <w:sz w:val="17"/>
              </w:rPr>
              <w:t>Purpose by Loan Status Stacked Bar Chart &amp; Default Rate Analysis</w:t>
            </w:r>
          </w:p>
        </w:tc>
      </w:tr>
      <w:tr>
        <w:tc>
          <w:tcPr>
            <w:tcW w:type="dxa" w:w="4968"/>
            <w:shd w:fill="F4F6F9"/>
            <w:tcMar>
              <w:top w:w="60" w:type="dxa"/>
              <w:bottom w:w="60" w:type="dxa"/>
              <w:left w:w="80" w:type="dxa"/>
              <w:right w:w="80" w:type="dxa"/>
            </w:tcMar>
          </w:tcPr>
          <w:p>
            <w:pPr>
              <w:spacing w:before="0" w:after="0"/>
            </w:pPr>
            <w:r>
              <w:rPr>
                <w:rFonts w:ascii="Calibri" w:hAnsi="Calibri"/>
                <w:b/>
                <w:color w:val="336699"/>
                <w:sz w:val="17"/>
              </w:rPr>
              <w:t>Actual Dataset Answer</w:t>
            </w:r>
          </w:p>
        </w:tc>
        <w:tc>
          <w:tcPr>
            <w:tcW w:type="dxa" w:w="4968"/>
            <w:tcMar>
              <w:top w:w="60" w:type="dxa"/>
              <w:bottom w:w="60" w:type="dxa"/>
              <w:left w:w="80" w:type="dxa"/>
              <w:right w:w="80" w:type="dxa"/>
            </w:tcMar>
          </w:tcPr>
          <w:p>
            <w:pPr>
              <w:spacing w:before="0" w:after="0"/>
            </w:pPr>
            <w:r>
              <w:rPr>
                <w:rFonts w:ascii="Calibri" w:hAnsi="Calibri"/>
                <w:color w:val="222222"/>
                <w:sz w:val="17"/>
              </w:rPr>
              <w:t>Small business loans exhibit the highest individual charge-off rate at approximately 27.1%, followed by renewable energy and educational loans (&gt;18%). In absolute dollar losses, debt consolidation accounts for the highest nominal loss (~$34.5M in charged-off principal).</w:t>
            </w:r>
          </w:p>
        </w:tc>
      </w:tr>
      <w:tr>
        <w:tc>
          <w:tcPr>
            <w:tcW w:type="dxa" w:w="4968"/>
            <w:shd w:fill="F4F6F9"/>
            <w:tcMar>
              <w:top w:w="60" w:type="dxa"/>
              <w:bottom w:w="60" w:type="dxa"/>
              <w:left w:w="80" w:type="dxa"/>
              <w:right w:w="80" w:type="dxa"/>
            </w:tcMar>
          </w:tcPr>
          <w:p>
            <w:pPr>
              <w:spacing w:before="0" w:after="0"/>
            </w:pPr>
            <w:r>
              <w:rPr>
                <w:rFonts w:ascii="Calibri" w:hAnsi="Calibri"/>
                <w:b/>
                <w:color w:val="336699"/>
                <w:sz w:val="17"/>
              </w:rPr>
              <w:t>Business Interpretation</w:t>
            </w:r>
          </w:p>
        </w:tc>
        <w:tc>
          <w:tcPr>
            <w:tcW w:type="dxa" w:w="4968"/>
            <w:tcMar>
              <w:top w:w="60" w:type="dxa"/>
              <w:bottom w:w="60" w:type="dxa"/>
              <w:left w:w="80" w:type="dxa"/>
              <w:right w:w="80" w:type="dxa"/>
            </w:tcMar>
          </w:tcPr>
          <w:p>
            <w:pPr>
              <w:spacing w:before="0" w:after="0"/>
            </w:pPr>
            <w:r>
              <w:rPr>
                <w:rFonts w:ascii="Calibri" w:hAnsi="Calibri"/>
                <w:color w:val="222222"/>
                <w:sz w:val="17"/>
              </w:rPr>
              <w:t>Small business borrowing through personal unsecured channels carries elevated commercial volatility, resulting in more than 1 in 4 borrowers defaulting. Debt consolidation, due to scale, contributes over half of all gross write-offs.</w:t>
            </w:r>
          </w:p>
        </w:tc>
      </w:tr>
      <w:tr>
        <w:tc>
          <w:tcPr>
            <w:tcW w:type="dxa" w:w="4968"/>
            <w:shd w:fill="F4F6F9"/>
            <w:tcMar>
              <w:top w:w="60" w:type="dxa"/>
              <w:bottom w:w="60" w:type="dxa"/>
              <w:left w:w="80" w:type="dxa"/>
              <w:right w:w="80" w:type="dxa"/>
            </w:tcMar>
          </w:tcPr>
          <w:p>
            <w:pPr>
              <w:spacing w:before="0" w:after="0"/>
            </w:pPr>
            <w:r>
              <w:rPr>
                <w:rFonts w:ascii="Calibri" w:hAnsi="Calibri"/>
                <w:b/>
                <w:color w:val="336699"/>
                <w:sz w:val="17"/>
              </w:rPr>
              <w:t>Analyst Recommendation</w:t>
            </w:r>
          </w:p>
        </w:tc>
        <w:tc>
          <w:tcPr>
            <w:tcW w:type="dxa" w:w="4968"/>
            <w:tcMar>
              <w:top w:w="60" w:type="dxa"/>
              <w:bottom w:w="60" w:type="dxa"/>
              <w:left w:w="80" w:type="dxa"/>
              <w:right w:w="80" w:type="dxa"/>
            </w:tcMar>
          </w:tcPr>
          <w:p>
            <w:pPr>
              <w:spacing w:before="0" w:after="0"/>
            </w:pPr>
            <w:r>
              <w:rPr>
                <w:rFonts w:ascii="Calibri" w:hAnsi="Calibri"/>
                <w:color w:val="222222"/>
                <w:sz w:val="17"/>
              </w:rPr>
              <w:t>Separate small business lending from retail consumer underwriting. Require formal commercial tax filings, commercial cash flow statements, and debt-service coverage ratios (DSCR &gt; 1.25x).</w:t>
            </w:r>
          </w:p>
        </w:tc>
      </w:tr>
    </w:tbl>
    <w:p>
      <w:pPr>
        <w:keepNext/>
        <w:spacing w:before="160" w:after="40"/>
      </w:pPr>
      <w:r>
        <w:rPr>
          <w:rFonts w:ascii="Calibri" w:hAnsi="Calibri"/>
          <w:b/>
          <w:color w:val="1B365D"/>
          <w:sz w:val="22"/>
        </w:rPr>
        <w:t>Question 6: How does borrower credit tiering (Grades A through G) impact portfolio performance and default probability?</w:t>
      </w:r>
    </w:p>
    <w:tbl>
      <w:tblPr>
        <w:tblW w:type="auto" w:w="0"/>
        <w:jc w:val="center"/>
        <w:tblLayout w:type="fixed"/>
        <w:tblLook w:firstColumn="1" w:firstRow="1" w:lastColumn="0" w:lastRow="0" w:noHBand="0" w:noVBand="1" w:val="04A0"/>
        <w:tblBorders>
          <w:top w:val="single" w:sz="4" w:space="0" w:color="E5E7EB"/>
          <w:bottom w:val="single" w:sz="4" w:space="0" w:color="E5E7EB"/>
          <w:left w:val="none"/>
          <w:right w:val="none"/>
          <w:insideH w:val="single" w:sz="4" w:space="0" w:color="E5E7EB"/>
          <w:insideV w:val="none"/>
        </w:tblBorders>
      </w:tblPr>
      <w:tblGrid>
        <w:gridCol w:w="2304"/>
        <w:gridCol w:w="7632"/>
      </w:tblGrid>
      <w:tr>
        <w:tc>
          <w:tcPr>
            <w:tcW w:type="dxa" w:w="4968"/>
            <w:shd w:fill="F4F6F9"/>
            <w:tcMar>
              <w:top w:w="60" w:type="dxa"/>
              <w:bottom w:w="60" w:type="dxa"/>
              <w:left w:w="80" w:type="dxa"/>
              <w:right w:w="80" w:type="dxa"/>
            </w:tcMar>
          </w:tcPr>
          <w:p>
            <w:pPr>
              <w:spacing w:before="0" w:after="0"/>
            </w:pPr>
            <w:r>
              <w:rPr>
                <w:rFonts w:ascii="Calibri" w:hAnsi="Calibri"/>
                <w:b/>
                <w:color w:val="336699"/>
                <w:sz w:val="17"/>
              </w:rPr>
              <w:t>Visualization Used</w:t>
            </w:r>
          </w:p>
        </w:tc>
        <w:tc>
          <w:tcPr>
            <w:tcW w:type="dxa" w:w="4968"/>
            <w:tcMar>
              <w:top w:w="60" w:type="dxa"/>
              <w:bottom w:w="60" w:type="dxa"/>
              <w:left w:w="80" w:type="dxa"/>
              <w:right w:w="80" w:type="dxa"/>
            </w:tcMar>
          </w:tcPr>
          <w:p>
            <w:pPr>
              <w:spacing w:before="0" w:after="0"/>
            </w:pPr>
            <w:r>
              <w:rPr>
                <w:rFonts w:ascii="Calibri" w:hAnsi="Calibri"/>
                <w:color w:val="222222"/>
                <w:sz w:val="17"/>
              </w:rPr>
              <w:t>Loan Grade vs. Interest Rate &amp; Default Rate Dual-Axis Chart</w:t>
            </w:r>
          </w:p>
        </w:tc>
      </w:tr>
      <w:tr>
        <w:tc>
          <w:tcPr>
            <w:tcW w:type="dxa" w:w="4968"/>
            <w:shd w:fill="F4F6F9"/>
            <w:tcMar>
              <w:top w:w="60" w:type="dxa"/>
              <w:bottom w:w="60" w:type="dxa"/>
              <w:left w:w="80" w:type="dxa"/>
              <w:right w:w="80" w:type="dxa"/>
            </w:tcMar>
          </w:tcPr>
          <w:p>
            <w:pPr>
              <w:spacing w:before="0" w:after="0"/>
            </w:pPr>
            <w:r>
              <w:rPr>
                <w:rFonts w:ascii="Calibri" w:hAnsi="Calibri"/>
                <w:b/>
                <w:color w:val="336699"/>
                <w:sz w:val="17"/>
              </w:rPr>
              <w:t>Actual Dataset Answer</w:t>
            </w:r>
          </w:p>
        </w:tc>
        <w:tc>
          <w:tcPr>
            <w:tcW w:type="dxa" w:w="4968"/>
            <w:tcMar>
              <w:top w:w="60" w:type="dxa"/>
              <w:bottom w:w="60" w:type="dxa"/>
              <w:left w:w="80" w:type="dxa"/>
              <w:right w:w="80" w:type="dxa"/>
            </w:tcMar>
          </w:tcPr>
          <w:p>
            <w:pPr>
              <w:spacing w:before="0" w:after="0"/>
            </w:pPr>
            <w:r>
              <w:rPr>
                <w:rFonts w:ascii="Calibri" w:hAnsi="Calibri"/>
                <w:color w:val="222222"/>
                <w:sz w:val="17"/>
              </w:rPr>
              <w:t>Grade A loans carry the lowest interest rate (~7.3%) and an exceptionally low default rate (~5.9%). Conversely, risk scales aggressively down the credit ladder: Grade B (~11.0% interest, ~12.2% default), Grade C (~13.5% interest, ~16.5% default), Grade D (~15.8% interest, ~21.0% default), reaching Grade G (&gt;20.5% interest and ~33.8% default rate).</w:t>
            </w:r>
          </w:p>
        </w:tc>
      </w:tr>
      <w:tr>
        <w:tc>
          <w:tcPr>
            <w:tcW w:type="dxa" w:w="4968"/>
            <w:shd w:fill="F4F6F9"/>
            <w:tcMar>
              <w:top w:w="60" w:type="dxa"/>
              <w:bottom w:w="60" w:type="dxa"/>
              <w:left w:w="80" w:type="dxa"/>
              <w:right w:w="80" w:type="dxa"/>
            </w:tcMar>
          </w:tcPr>
          <w:p>
            <w:pPr>
              <w:spacing w:before="0" w:after="0"/>
            </w:pPr>
            <w:r>
              <w:rPr>
                <w:rFonts w:ascii="Calibri" w:hAnsi="Calibri"/>
                <w:b/>
                <w:color w:val="336699"/>
                <w:sz w:val="17"/>
              </w:rPr>
              <w:t>Business Interpretation</w:t>
            </w:r>
          </w:p>
        </w:tc>
        <w:tc>
          <w:tcPr>
            <w:tcW w:type="dxa" w:w="4968"/>
            <w:tcMar>
              <w:top w:w="60" w:type="dxa"/>
              <w:bottom w:w="60" w:type="dxa"/>
              <w:left w:w="80" w:type="dxa"/>
              <w:right w:w="80" w:type="dxa"/>
            </w:tcMar>
          </w:tcPr>
          <w:p>
            <w:pPr>
              <w:spacing w:before="0" w:after="0"/>
            </w:pPr>
            <w:r>
              <w:rPr>
                <w:rFonts w:ascii="Calibri" w:hAnsi="Calibri"/>
                <w:color w:val="222222"/>
                <w:sz w:val="17"/>
              </w:rPr>
              <w:t>The internal grading model accurately orders default risk. However, the interest rate premium charged on Grades F and G is insufficient to compensate for loss-given-default rates exceeding 30%.</w:t>
            </w:r>
          </w:p>
        </w:tc>
      </w:tr>
      <w:tr>
        <w:tc>
          <w:tcPr>
            <w:tcW w:type="dxa" w:w="4968"/>
            <w:shd w:fill="F4F6F9"/>
            <w:tcMar>
              <w:top w:w="60" w:type="dxa"/>
              <w:bottom w:w="60" w:type="dxa"/>
              <w:left w:w="80" w:type="dxa"/>
              <w:right w:w="80" w:type="dxa"/>
            </w:tcMar>
          </w:tcPr>
          <w:p>
            <w:pPr>
              <w:spacing w:before="0" w:after="0"/>
            </w:pPr>
            <w:r>
              <w:rPr>
                <w:rFonts w:ascii="Calibri" w:hAnsi="Calibri"/>
                <w:b/>
                <w:color w:val="336699"/>
                <w:sz w:val="17"/>
              </w:rPr>
              <w:t>Analyst Recommendation</w:t>
            </w:r>
          </w:p>
        </w:tc>
        <w:tc>
          <w:tcPr>
            <w:tcW w:type="dxa" w:w="4968"/>
            <w:tcMar>
              <w:top w:w="60" w:type="dxa"/>
              <w:bottom w:w="60" w:type="dxa"/>
              <w:left w:w="80" w:type="dxa"/>
              <w:right w:w="80" w:type="dxa"/>
            </w:tcMar>
          </w:tcPr>
          <w:p>
            <w:pPr>
              <w:spacing w:before="0" w:after="0"/>
            </w:pPr>
            <w:r>
              <w:rPr>
                <w:rFonts w:ascii="Calibri" w:hAnsi="Calibri"/>
                <w:color w:val="222222"/>
                <w:sz w:val="17"/>
              </w:rPr>
              <w:t>Cap total exposure to Grades F and G at no more than 3.5% of total portfolio originations, and increase minimum origination fee hurdles on Grade E loans.</w:t>
            </w:r>
          </w:p>
        </w:tc>
      </w:tr>
    </w:tbl>
    <w:p>
      <w:pPr>
        <w:keepNext/>
        <w:spacing w:before="160" w:after="40"/>
      </w:pPr>
      <w:r>
        <w:rPr>
          <w:rFonts w:ascii="Calibri" w:hAnsi="Calibri"/>
          <w:b/>
          <w:color w:val="1B365D"/>
          <w:sz w:val="22"/>
        </w:rPr>
        <w:t>Question 7: Which geographic regions represent our highest loan disbursement and operational exposure?</w:t>
      </w:r>
    </w:p>
    <w:tbl>
      <w:tblPr>
        <w:tblW w:type="auto" w:w="0"/>
        <w:jc w:val="center"/>
        <w:tblLayout w:type="fixed"/>
        <w:tblLook w:firstColumn="1" w:firstRow="1" w:lastColumn="0" w:lastRow="0" w:noHBand="0" w:noVBand="1" w:val="04A0"/>
        <w:tblBorders>
          <w:top w:val="single" w:sz="4" w:space="0" w:color="E5E7EB"/>
          <w:bottom w:val="single" w:sz="4" w:space="0" w:color="E5E7EB"/>
          <w:left w:val="none"/>
          <w:right w:val="none"/>
          <w:insideH w:val="single" w:sz="4" w:space="0" w:color="E5E7EB"/>
          <w:insideV w:val="none"/>
        </w:tblBorders>
      </w:tblPr>
      <w:tblGrid>
        <w:gridCol w:w="2304"/>
        <w:gridCol w:w="7632"/>
      </w:tblGrid>
      <w:tr>
        <w:tc>
          <w:tcPr>
            <w:tcW w:type="dxa" w:w="4968"/>
            <w:shd w:fill="F4F6F9"/>
            <w:tcMar>
              <w:top w:w="60" w:type="dxa"/>
              <w:bottom w:w="60" w:type="dxa"/>
              <w:left w:w="80" w:type="dxa"/>
              <w:right w:w="80" w:type="dxa"/>
            </w:tcMar>
          </w:tcPr>
          <w:p>
            <w:pPr>
              <w:spacing w:before="0" w:after="0"/>
            </w:pPr>
            <w:r>
              <w:rPr>
                <w:rFonts w:ascii="Calibri" w:hAnsi="Calibri"/>
                <w:b/>
                <w:color w:val="336699"/>
                <w:sz w:val="17"/>
              </w:rPr>
              <w:t>Visualization Used</w:t>
            </w:r>
          </w:p>
        </w:tc>
        <w:tc>
          <w:tcPr>
            <w:tcW w:type="dxa" w:w="4968"/>
            <w:tcMar>
              <w:top w:w="60" w:type="dxa"/>
              <w:bottom w:w="60" w:type="dxa"/>
              <w:left w:w="80" w:type="dxa"/>
              <w:right w:w="80" w:type="dxa"/>
            </w:tcMar>
          </w:tcPr>
          <w:p>
            <w:pPr>
              <w:spacing w:before="0" w:after="0"/>
            </w:pPr>
            <w:r>
              <w:rPr>
                <w:rFonts w:ascii="Calibri" w:hAnsi="Calibri"/>
                <w:color w:val="222222"/>
                <w:sz w:val="17"/>
              </w:rPr>
              <w:t>Regional Analysis Filled Map (by Address State)</w:t>
            </w:r>
          </w:p>
        </w:tc>
      </w:tr>
      <w:tr>
        <w:tc>
          <w:tcPr>
            <w:tcW w:type="dxa" w:w="4968"/>
            <w:shd w:fill="F4F6F9"/>
            <w:tcMar>
              <w:top w:w="60" w:type="dxa"/>
              <w:bottom w:w="60" w:type="dxa"/>
              <w:left w:w="80" w:type="dxa"/>
              <w:right w:w="80" w:type="dxa"/>
            </w:tcMar>
          </w:tcPr>
          <w:p>
            <w:pPr>
              <w:spacing w:before="0" w:after="0"/>
            </w:pPr>
            <w:r>
              <w:rPr>
                <w:rFonts w:ascii="Calibri" w:hAnsi="Calibri"/>
                <w:b/>
                <w:color w:val="336699"/>
                <w:sz w:val="17"/>
              </w:rPr>
              <w:t>Actual Dataset Answer</w:t>
            </w:r>
          </w:p>
        </w:tc>
        <w:tc>
          <w:tcPr>
            <w:tcW w:type="dxa" w:w="4968"/>
            <w:tcMar>
              <w:top w:w="60" w:type="dxa"/>
              <w:bottom w:w="60" w:type="dxa"/>
              <w:left w:w="80" w:type="dxa"/>
              <w:right w:w="80" w:type="dxa"/>
            </w:tcMar>
          </w:tcPr>
          <w:p>
            <w:pPr>
              <w:spacing w:before="0" w:after="0"/>
            </w:pPr>
            <w:r>
              <w:rPr>
                <w:rFonts w:ascii="Calibri" w:hAnsi="Calibri"/>
                <w:color w:val="222222"/>
                <w:sz w:val="17"/>
              </w:rPr>
              <w:t>California (CA) leads the nation with the largest loan volume (~6,894 applications, ~$79.5M funded), followed by New York (NY: ~3,700 loans, ~$42M), Texas (TX: ~2,650 loans, ~$30M), Florida (FL: ~2,300 loans, ~$26M), and New Jersey (NJ: ~1,800 loans, ~$21M). The top 5 states account for ~45% of total lending.</w:t>
            </w:r>
          </w:p>
        </w:tc>
      </w:tr>
      <w:tr>
        <w:tc>
          <w:tcPr>
            <w:tcW w:type="dxa" w:w="4968"/>
            <w:shd w:fill="F4F6F9"/>
            <w:tcMar>
              <w:top w:w="60" w:type="dxa"/>
              <w:bottom w:w="60" w:type="dxa"/>
              <w:left w:w="80" w:type="dxa"/>
              <w:right w:w="80" w:type="dxa"/>
            </w:tcMar>
          </w:tcPr>
          <w:p>
            <w:pPr>
              <w:spacing w:before="0" w:after="0"/>
            </w:pPr>
            <w:r>
              <w:rPr>
                <w:rFonts w:ascii="Calibri" w:hAnsi="Calibri"/>
                <w:b/>
                <w:color w:val="336699"/>
                <w:sz w:val="17"/>
              </w:rPr>
              <w:t>Business Interpretation</w:t>
            </w:r>
          </w:p>
        </w:tc>
        <w:tc>
          <w:tcPr>
            <w:tcW w:type="dxa" w:w="4968"/>
            <w:tcMar>
              <w:top w:w="60" w:type="dxa"/>
              <w:bottom w:w="60" w:type="dxa"/>
              <w:left w:w="80" w:type="dxa"/>
              <w:right w:w="80" w:type="dxa"/>
            </w:tcMar>
          </w:tcPr>
          <w:p>
            <w:pPr>
              <w:spacing w:before="0" w:after="0"/>
            </w:pPr>
            <w:r>
              <w:rPr>
                <w:rFonts w:ascii="Calibri" w:hAnsi="Calibri"/>
                <w:color w:val="222222"/>
                <w:sz w:val="17"/>
              </w:rPr>
              <w:t>Strong economic hubs drive high borrowing demand, but create severe geographic concentration risk. Systemic downturns or housing market shocks in California or New York pose disproportionate threats to bank capital.</w:t>
            </w:r>
          </w:p>
        </w:tc>
      </w:tr>
      <w:tr>
        <w:tc>
          <w:tcPr>
            <w:tcW w:type="dxa" w:w="4968"/>
            <w:shd w:fill="F4F6F9"/>
            <w:tcMar>
              <w:top w:w="60" w:type="dxa"/>
              <w:bottom w:w="60" w:type="dxa"/>
              <w:left w:w="80" w:type="dxa"/>
              <w:right w:w="80" w:type="dxa"/>
            </w:tcMar>
          </w:tcPr>
          <w:p>
            <w:pPr>
              <w:spacing w:before="0" w:after="0"/>
            </w:pPr>
            <w:r>
              <w:rPr>
                <w:rFonts w:ascii="Calibri" w:hAnsi="Calibri"/>
                <w:b/>
                <w:color w:val="336699"/>
                <w:sz w:val="17"/>
              </w:rPr>
              <w:t>Analyst Recommendation</w:t>
            </w:r>
          </w:p>
        </w:tc>
        <w:tc>
          <w:tcPr>
            <w:tcW w:type="dxa" w:w="4968"/>
            <w:tcMar>
              <w:top w:w="60" w:type="dxa"/>
              <w:bottom w:w="60" w:type="dxa"/>
              <w:left w:w="80" w:type="dxa"/>
              <w:right w:w="80" w:type="dxa"/>
            </w:tcMar>
          </w:tcPr>
          <w:p>
            <w:pPr>
              <w:spacing w:before="0" w:after="0"/>
            </w:pPr>
            <w:r>
              <w:rPr>
                <w:rFonts w:ascii="Calibri" w:hAnsi="Calibri"/>
                <w:color w:val="222222"/>
                <w:sz w:val="17"/>
              </w:rPr>
              <w:t>Institute geographic concentration limits ensuring no single state exceeds 20% of net portfolio commitments. Expand digital distribution partnerships in under-penetrated Midwestern and Southeastern states.</w:t>
            </w:r>
          </w:p>
        </w:tc>
      </w:tr>
    </w:tbl>
    <w:p>
      <w:pPr>
        <w:keepNext/>
        <w:spacing w:before="160" w:after="40"/>
      </w:pPr>
      <w:r>
        <w:rPr>
          <w:rFonts w:ascii="Calibri" w:hAnsi="Calibri"/>
          <w:b/>
          <w:color w:val="1B365D"/>
          <w:sz w:val="22"/>
        </w:rPr>
        <w:t>Question 8: Are certain states experiencing abnormally high default rates that demand credit tightening?</w:t>
      </w:r>
    </w:p>
    <w:tbl>
      <w:tblPr>
        <w:tblW w:type="auto" w:w="0"/>
        <w:jc w:val="center"/>
        <w:tblLayout w:type="fixed"/>
        <w:tblLook w:firstColumn="1" w:firstRow="1" w:lastColumn="0" w:lastRow="0" w:noHBand="0" w:noVBand="1" w:val="04A0"/>
        <w:tblBorders>
          <w:top w:val="single" w:sz="4" w:space="0" w:color="E5E7EB"/>
          <w:bottom w:val="single" w:sz="4" w:space="0" w:color="E5E7EB"/>
          <w:left w:val="none"/>
          <w:right w:val="none"/>
          <w:insideH w:val="single" w:sz="4" w:space="0" w:color="E5E7EB"/>
          <w:insideV w:val="none"/>
        </w:tblBorders>
      </w:tblPr>
      <w:tblGrid>
        <w:gridCol w:w="2304"/>
        <w:gridCol w:w="7632"/>
      </w:tblGrid>
      <w:tr>
        <w:tc>
          <w:tcPr>
            <w:tcW w:type="dxa" w:w="4968"/>
            <w:shd w:fill="F4F6F9"/>
            <w:tcMar>
              <w:top w:w="60" w:type="dxa"/>
              <w:bottom w:w="60" w:type="dxa"/>
              <w:left w:w="80" w:type="dxa"/>
              <w:right w:w="80" w:type="dxa"/>
            </w:tcMar>
          </w:tcPr>
          <w:p>
            <w:pPr>
              <w:spacing w:before="0" w:after="0"/>
            </w:pPr>
            <w:r>
              <w:rPr>
                <w:rFonts w:ascii="Calibri" w:hAnsi="Calibri"/>
                <w:b/>
                <w:color w:val="336699"/>
                <w:sz w:val="17"/>
              </w:rPr>
              <w:t>Visualization Used</w:t>
            </w:r>
          </w:p>
        </w:tc>
        <w:tc>
          <w:tcPr>
            <w:tcW w:type="dxa" w:w="4968"/>
            <w:tcMar>
              <w:top w:w="60" w:type="dxa"/>
              <w:bottom w:w="60" w:type="dxa"/>
              <w:left w:w="80" w:type="dxa"/>
              <w:right w:w="80" w:type="dxa"/>
            </w:tcMar>
          </w:tcPr>
          <w:p>
            <w:pPr>
              <w:spacing w:before="0" w:after="0"/>
            </w:pPr>
            <w:r>
              <w:rPr>
                <w:rFonts w:ascii="Calibri" w:hAnsi="Calibri"/>
                <w:color w:val="222222"/>
                <w:sz w:val="17"/>
              </w:rPr>
              <w:t>State-Level Charge-Off Heat Map &amp; Delinquency Ranking Table</w:t>
            </w:r>
          </w:p>
        </w:tc>
      </w:tr>
      <w:tr>
        <w:tc>
          <w:tcPr>
            <w:tcW w:type="dxa" w:w="4968"/>
            <w:shd w:fill="F4F6F9"/>
            <w:tcMar>
              <w:top w:w="60" w:type="dxa"/>
              <w:bottom w:w="60" w:type="dxa"/>
              <w:left w:w="80" w:type="dxa"/>
              <w:right w:w="80" w:type="dxa"/>
            </w:tcMar>
          </w:tcPr>
          <w:p>
            <w:pPr>
              <w:spacing w:before="0" w:after="0"/>
            </w:pPr>
            <w:r>
              <w:rPr>
                <w:rFonts w:ascii="Calibri" w:hAnsi="Calibri"/>
                <w:b/>
                <w:color w:val="336699"/>
                <w:sz w:val="17"/>
              </w:rPr>
              <w:t>Actual Dataset Answer</w:t>
            </w:r>
          </w:p>
        </w:tc>
        <w:tc>
          <w:tcPr>
            <w:tcW w:type="dxa" w:w="4968"/>
            <w:tcMar>
              <w:top w:w="60" w:type="dxa"/>
              <w:bottom w:w="60" w:type="dxa"/>
              <w:left w:w="80" w:type="dxa"/>
              <w:right w:w="80" w:type="dxa"/>
            </w:tcMar>
          </w:tcPr>
          <w:p>
            <w:pPr>
              <w:spacing w:before="0" w:after="0"/>
            </w:pPr>
            <w:r>
              <w:rPr>
                <w:rFonts w:ascii="Calibri" w:hAnsi="Calibri"/>
                <w:color w:val="222222"/>
                <w:sz w:val="17"/>
              </w:rPr>
              <w:t>States including Nevada (NV), Florida (FL), and Mississippi (MS) exhibit elevated charge-off rates between 15.5% and 17.2%, notably exceeding the national portfolio average of 13.82%.</w:t>
            </w:r>
          </w:p>
        </w:tc>
      </w:tr>
      <w:tr>
        <w:tc>
          <w:tcPr>
            <w:tcW w:type="dxa" w:w="4968"/>
            <w:shd w:fill="F4F6F9"/>
            <w:tcMar>
              <w:top w:w="60" w:type="dxa"/>
              <w:bottom w:w="60" w:type="dxa"/>
              <w:left w:w="80" w:type="dxa"/>
              <w:right w:w="80" w:type="dxa"/>
            </w:tcMar>
          </w:tcPr>
          <w:p>
            <w:pPr>
              <w:spacing w:before="0" w:after="0"/>
            </w:pPr>
            <w:r>
              <w:rPr>
                <w:rFonts w:ascii="Calibri" w:hAnsi="Calibri"/>
                <w:b/>
                <w:color w:val="336699"/>
                <w:sz w:val="17"/>
              </w:rPr>
              <w:t>Business Interpretation</w:t>
            </w:r>
          </w:p>
        </w:tc>
        <w:tc>
          <w:tcPr>
            <w:tcW w:type="dxa" w:w="4968"/>
            <w:tcMar>
              <w:top w:w="60" w:type="dxa"/>
              <w:bottom w:w="60" w:type="dxa"/>
              <w:left w:w="80" w:type="dxa"/>
              <w:right w:w="80" w:type="dxa"/>
            </w:tcMar>
          </w:tcPr>
          <w:p>
            <w:pPr>
              <w:spacing w:before="0" w:after="0"/>
            </w:pPr>
            <w:r>
              <w:rPr>
                <w:rFonts w:ascii="Calibri" w:hAnsi="Calibri"/>
                <w:color w:val="222222"/>
                <w:sz w:val="17"/>
              </w:rPr>
              <w:t>Regional economic pressures, higher consumer cost-of-living burdens, and variable employment security in hospitality/tourism-driven economies heighten credit vulnerability.</w:t>
            </w:r>
          </w:p>
        </w:tc>
      </w:tr>
      <w:tr>
        <w:tc>
          <w:tcPr>
            <w:tcW w:type="dxa" w:w="4968"/>
            <w:shd w:fill="F4F6F9"/>
            <w:tcMar>
              <w:top w:w="60" w:type="dxa"/>
              <w:bottom w:w="60" w:type="dxa"/>
              <w:left w:w="80" w:type="dxa"/>
              <w:right w:w="80" w:type="dxa"/>
            </w:tcMar>
          </w:tcPr>
          <w:p>
            <w:pPr>
              <w:spacing w:before="0" w:after="0"/>
            </w:pPr>
            <w:r>
              <w:rPr>
                <w:rFonts w:ascii="Calibri" w:hAnsi="Calibri"/>
                <w:b/>
                <w:color w:val="336699"/>
                <w:sz w:val="17"/>
              </w:rPr>
              <w:t>Analyst Recommendation</w:t>
            </w:r>
          </w:p>
        </w:tc>
        <w:tc>
          <w:tcPr>
            <w:tcW w:type="dxa" w:w="4968"/>
            <w:tcMar>
              <w:top w:w="60" w:type="dxa"/>
              <w:bottom w:w="60" w:type="dxa"/>
              <w:left w:w="80" w:type="dxa"/>
              <w:right w:w="80" w:type="dxa"/>
            </w:tcMar>
          </w:tcPr>
          <w:p>
            <w:pPr>
              <w:spacing w:before="0" w:after="0"/>
            </w:pPr>
            <w:r>
              <w:rPr>
                <w:rFonts w:ascii="Calibri" w:hAnsi="Calibri"/>
                <w:color w:val="222222"/>
                <w:sz w:val="17"/>
              </w:rPr>
              <w:t>Apply an automatic +50 bps risk premium or 20-point credit score overlay for unsecured personal loans originated in Tier-3 high-delinquency postal codes within NV and FL.</w:t>
            </w:r>
          </w:p>
        </w:tc>
      </w:tr>
    </w:tbl>
    <w:p>
      <w:pPr>
        <w:keepNext/>
        <w:spacing w:before="160" w:after="40"/>
      </w:pPr>
      <w:r>
        <w:rPr>
          <w:rFonts w:ascii="Calibri" w:hAnsi="Calibri"/>
          <w:b/>
          <w:color w:val="1B365D"/>
          <w:sz w:val="22"/>
        </w:rPr>
        <w:t>Question 9: What is the distribution of borrower home ownership, and how does collateral status affect credit risk?</w:t>
      </w:r>
    </w:p>
    <w:tbl>
      <w:tblPr>
        <w:tblW w:type="auto" w:w="0"/>
        <w:jc w:val="center"/>
        <w:tblLayout w:type="fixed"/>
        <w:tblLook w:firstColumn="1" w:firstRow="1" w:lastColumn="0" w:lastRow="0" w:noHBand="0" w:noVBand="1" w:val="04A0"/>
        <w:tblBorders>
          <w:top w:val="single" w:sz="4" w:space="0" w:color="E5E7EB"/>
          <w:bottom w:val="single" w:sz="4" w:space="0" w:color="E5E7EB"/>
          <w:left w:val="none"/>
          <w:right w:val="none"/>
          <w:insideH w:val="single" w:sz="4" w:space="0" w:color="E5E7EB"/>
          <w:insideV w:val="none"/>
        </w:tblBorders>
      </w:tblPr>
      <w:tblGrid>
        <w:gridCol w:w="2304"/>
        <w:gridCol w:w="7632"/>
      </w:tblGrid>
      <w:tr>
        <w:tc>
          <w:tcPr>
            <w:tcW w:type="dxa" w:w="4968"/>
            <w:shd w:fill="F4F6F9"/>
            <w:tcMar>
              <w:top w:w="60" w:type="dxa"/>
              <w:bottom w:w="60" w:type="dxa"/>
              <w:left w:w="80" w:type="dxa"/>
              <w:right w:w="80" w:type="dxa"/>
            </w:tcMar>
          </w:tcPr>
          <w:p>
            <w:pPr>
              <w:spacing w:before="0" w:after="0"/>
            </w:pPr>
            <w:r>
              <w:rPr>
                <w:rFonts w:ascii="Calibri" w:hAnsi="Calibri"/>
                <w:b/>
                <w:color w:val="336699"/>
                <w:sz w:val="17"/>
              </w:rPr>
              <w:t>Visualization Used</w:t>
            </w:r>
          </w:p>
        </w:tc>
        <w:tc>
          <w:tcPr>
            <w:tcW w:type="dxa" w:w="4968"/>
            <w:tcMar>
              <w:top w:w="60" w:type="dxa"/>
              <w:bottom w:w="60" w:type="dxa"/>
              <w:left w:w="80" w:type="dxa"/>
              <w:right w:w="80" w:type="dxa"/>
            </w:tcMar>
          </w:tcPr>
          <w:p>
            <w:pPr>
              <w:spacing w:before="0" w:after="0"/>
            </w:pPr>
            <w:r>
              <w:rPr>
                <w:rFonts w:ascii="Calibri" w:hAnsi="Calibri"/>
                <w:color w:val="222222"/>
                <w:sz w:val="17"/>
              </w:rPr>
              <w:t>Home Ownership Tree Map &amp; Risk Breakdown</w:t>
            </w:r>
          </w:p>
        </w:tc>
      </w:tr>
      <w:tr>
        <w:tc>
          <w:tcPr>
            <w:tcW w:type="dxa" w:w="4968"/>
            <w:shd w:fill="F4F6F9"/>
            <w:tcMar>
              <w:top w:w="60" w:type="dxa"/>
              <w:bottom w:w="60" w:type="dxa"/>
              <w:left w:w="80" w:type="dxa"/>
              <w:right w:w="80" w:type="dxa"/>
            </w:tcMar>
          </w:tcPr>
          <w:p>
            <w:pPr>
              <w:spacing w:before="0" w:after="0"/>
            </w:pPr>
            <w:r>
              <w:rPr>
                <w:rFonts w:ascii="Calibri" w:hAnsi="Calibri"/>
                <w:b/>
                <w:color w:val="336699"/>
                <w:sz w:val="17"/>
              </w:rPr>
              <w:t>Actual Dataset Answer</w:t>
            </w:r>
          </w:p>
        </w:tc>
        <w:tc>
          <w:tcPr>
            <w:tcW w:type="dxa" w:w="4968"/>
            <w:tcMar>
              <w:top w:w="60" w:type="dxa"/>
              <w:bottom w:w="60" w:type="dxa"/>
              <w:left w:w="80" w:type="dxa"/>
              <w:right w:w="80" w:type="dxa"/>
            </w:tcMar>
          </w:tcPr>
          <w:p>
            <w:pPr>
              <w:spacing w:before="0" w:after="0"/>
            </w:pPr>
            <w:r>
              <w:rPr>
                <w:rFonts w:ascii="Calibri" w:hAnsi="Calibri"/>
                <w:color w:val="222222"/>
                <w:sz w:val="17"/>
              </w:rPr>
              <w:t>Borrowers residing in rental properties ('RENT') and those with active mortgages ('MORTGAGE') account for ~90% of all originations (~18,440 Renters, ~17,190 Mortgage holders). Outright homeowners ('OWN') comprise only ~2,840 loans (~7.4%). Default rates are highest among Renters (~14.9%) versus Mortgage holders (~12.8%) and Outright Owners (~12.5%).</w:t>
            </w:r>
          </w:p>
        </w:tc>
      </w:tr>
      <w:tr>
        <w:tc>
          <w:tcPr>
            <w:tcW w:type="dxa" w:w="4968"/>
            <w:shd w:fill="F4F6F9"/>
            <w:tcMar>
              <w:top w:w="60" w:type="dxa"/>
              <w:bottom w:w="60" w:type="dxa"/>
              <w:left w:w="80" w:type="dxa"/>
              <w:right w:w="80" w:type="dxa"/>
            </w:tcMar>
          </w:tcPr>
          <w:p>
            <w:pPr>
              <w:spacing w:before="0" w:after="0"/>
            </w:pPr>
            <w:r>
              <w:rPr>
                <w:rFonts w:ascii="Calibri" w:hAnsi="Calibri"/>
                <w:b/>
                <w:color w:val="336699"/>
                <w:sz w:val="17"/>
              </w:rPr>
              <w:t>Business Interpretation</w:t>
            </w:r>
          </w:p>
        </w:tc>
        <w:tc>
          <w:tcPr>
            <w:tcW w:type="dxa" w:w="4968"/>
            <w:tcMar>
              <w:top w:w="60" w:type="dxa"/>
              <w:bottom w:w="60" w:type="dxa"/>
              <w:left w:w="80" w:type="dxa"/>
              <w:right w:w="80" w:type="dxa"/>
            </w:tcMar>
          </w:tcPr>
          <w:p>
            <w:pPr>
              <w:spacing w:before="0" w:after="0"/>
            </w:pPr>
            <w:r>
              <w:rPr>
                <w:rFonts w:ascii="Calibri" w:hAnsi="Calibri"/>
                <w:color w:val="222222"/>
                <w:sz w:val="17"/>
              </w:rPr>
              <w:t>Mortgage holders and home owners demonstrate greater financial resilience and stability, reflecting stronger overall household balance sheets and lower baseline credit risk.</w:t>
            </w:r>
          </w:p>
        </w:tc>
      </w:tr>
      <w:tr>
        <w:tc>
          <w:tcPr>
            <w:tcW w:type="dxa" w:w="4968"/>
            <w:shd w:fill="F4F6F9"/>
            <w:tcMar>
              <w:top w:w="60" w:type="dxa"/>
              <w:bottom w:w="60" w:type="dxa"/>
              <w:left w:w="80" w:type="dxa"/>
              <w:right w:w="80" w:type="dxa"/>
            </w:tcMar>
          </w:tcPr>
          <w:p>
            <w:pPr>
              <w:spacing w:before="0" w:after="0"/>
            </w:pPr>
            <w:r>
              <w:rPr>
                <w:rFonts w:ascii="Calibri" w:hAnsi="Calibri"/>
                <w:b/>
                <w:color w:val="336699"/>
                <w:sz w:val="17"/>
              </w:rPr>
              <w:t>Analyst Recommendation</w:t>
            </w:r>
          </w:p>
        </w:tc>
        <w:tc>
          <w:tcPr>
            <w:tcW w:type="dxa" w:w="4968"/>
            <w:tcMar>
              <w:top w:w="60" w:type="dxa"/>
              <w:bottom w:w="60" w:type="dxa"/>
              <w:left w:w="80" w:type="dxa"/>
              <w:right w:w="80" w:type="dxa"/>
            </w:tcMar>
          </w:tcPr>
          <w:p>
            <w:pPr>
              <w:spacing w:before="0" w:after="0"/>
            </w:pPr>
            <w:r>
              <w:rPr>
                <w:rFonts w:ascii="Calibri" w:hAnsi="Calibri"/>
                <w:color w:val="222222"/>
                <w:sz w:val="17"/>
              </w:rPr>
              <w:t>Introduce preferential 25-50 bps interest rate discounts for homeowners to attract lower-risk secured-profile borrowers into unsecured personal lending products.</w:t>
            </w:r>
          </w:p>
        </w:tc>
      </w:tr>
    </w:tbl>
    <w:p>
      <w:pPr>
        <w:keepNext/>
        <w:spacing w:before="160" w:after="40"/>
      </w:pPr>
      <w:r>
        <w:rPr>
          <w:rFonts w:ascii="Calibri" w:hAnsi="Calibri"/>
          <w:b/>
          <w:color w:val="1B365D"/>
          <w:sz w:val="22"/>
        </w:rPr>
        <w:t>Question 10: How does borrower employment stability (emp_length) correlate with loan repayment performance?</w:t>
      </w:r>
    </w:p>
    <w:tbl>
      <w:tblPr>
        <w:tblW w:type="auto" w:w="0"/>
        <w:jc w:val="center"/>
        <w:tblLayout w:type="fixed"/>
        <w:tblLook w:firstColumn="1" w:firstRow="1" w:lastColumn="0" w:lastRow="0" w:noHBand="0" w:noVBand="1" w:val="04A0"/>
        <w:tblBorders>
          <w:top w:val="single" w:sz="4" w:space="0" w:color="E5E7EB"/>
          <w:bottom w:val="single" w:sz="4" w:space="0" w:color="E5E7EB"/>
          <w:left w:val="none"/>
          <w:right w:val="none"/>
          <w:insideH w:val="single" w:sz="4" w:space="0" w:color="E5E7EB"/>
          <w:insideV w:val="none"/>
        </w:tblBorders>
      </w:tblPr>
      <w:tblGrid>
        <w:gridCol w:w="2304"/>
        <w:gridCol w:w="7632"/>
      </w:tblGrid>
      <w:tr>
        <w:tc>
          <w:tcPr>
            <w:tcW w:type="dxa" w:w="4968"/>
            <w:shd w:fill="F4F6F9"/>
            <w:tcMar>
              <w:top w:w="60" w:type="dxa"/>
              <w:bottom w:w="60" w:type="dxa"/>
              <w:left w:w="80" w:type="dxa"/>
              <w:right w:w="80" w:type="dxa"/>
            </w:tcMar>
          </w:tcPr>
          <w:p>
            <w:pPr>
              <w:spacing w:before="0" w:after="0"/>
            </w:pPr>
            <w:r>
              <w:rPr>
                <w:rFonts w:ascii="Calibri" w:hAnsi="Calibri"/>
                <w:b/>
                <w:color w:val="336699"/>
                <w:sz w:val="17"/>
              </w:rPr>
              <w:t>Visualization Used</w:t>
            </w:r>
          </w:p>
        </w:tc>
        <w:tc>
          <w:tcPr>
            <w:tcW w:type="dxa" w:w="4968"/>
            <w:tcMar>
              <w:top w:w="60" w:type="dxa"/>
              <w:bottom w:w="60" w:type="dxa"/>
              <w:left w:w="80" w:type="dxa"/>
              <w:right w:w="80" w:type="dxa"/>
            </w:tcMar>
          </w:tcPr>
          <w:p>
            <w:pPr>
              <w:spacing w:before="0" w:after="0"/>
            </w:pPr>
            <w:r>
              <w:rPr>
                <w:rFonts w:ascii="Calibri" w:hAnsi="Calibri"/>
                <w:color w:val="222222"/>
                <w:sz w:val="17"/>
              </w:rPr>
              <w:t>Employee Length Analysis Bar Chart (Sorted '&lt;1 year' to '10+ years')</w:t>
            </w:r>
          </w:p>
        </w:tc>
      </w:tr>
      <w:tr>
        <w:tc>
          <w:tcPr>
            <w:tcW w:type="dxa" w:w="4968"/>
            <w:shd w:fill="F4F6F9"/>
            <w:tcMar>
              <w:top w:w="60" w:type="dxa"/>
              <w:bottom w:w="60" w:type="dxa"/>
              <w:left w:w="80" w:type="dxa"/>
              <w:right w:w="80" w:type="dxa"/>
            </w:tcMar>
          </w:tcPr>
          <w:p>
            <w:pPr>
              <w:spacing w:before="0" w:after="0"/>
            </w:pPr>
            <w:r>
              <w:rPr>
                <w:rFonts w:ascii="Calibri" w:hAnsi="Calibri"/>
                <w:b/>
                <w:color w:val="336699"/>
                <w:sz w:val="17"/>
              </w:rPr>
              <w:t>Actual Dataset Answer</w:t>
            </w:r>
          </w:p>
        </w:tc>
        <w:tc>
          <w:tcPr>
            <w:tcW w:type="dxa" w:w="4968"/>
            <w:tcMar>
              <w:top w:w="60" w:type="dxa"/>
              <w:bottom w:w="60" w:type="dxa"/>
              <w:left w:w="80" w:type="dxa"/>
              <w:right w:w="80" w:type="dxa"/>
            </w:tcMar>
          </w:tcPr>
          <w:p>
            <w:pPr>
              <w:spacing w:before="0" w:after="0"/>
            </w:pPr>
            <w:r>
              <w:rPr>
                <w:rFonts w:ascii="Calibri" w:hAnsi="Calibri"/>
                <w:color w:val="222222"/>
                <w:sz w:val="17"/>
              </w:rPr>
              <w:t>Borrowers with '10+ years' of employment form the largest single customer cohort (~8,890 loans, ~$112M funded), followed by 2-3 years (~7,200 loans) and &lt;1 year (~4,590 loans). Default rates remain remarkably flat across employment tenures (~13.1% to 14.2%), with 10+ year employees defaulting at ~13.5%.</w:t>
            </w:r>
          </w:p>
        </w:tc>
      </w:tr>
      <w:tr>
        <w:tc>
          <w:tcPr>
            <w:tcW w:type="dxa" w:w="4968"/>
            <w:shd w:fill="F4F6F9"/>
            <w:tcMar>
              <w:top w:w="60" w:type="dxa"/>
              <w:bottom w:w="60" w:type="dxa"/>
              <w:left w:w="80" w:type="dxa"/>
              <w:right w:w="80" w:type="dxa"/>
            </w:tcMar>
          </w:tcPr>
          <w:p>
            <w:pPr>
              <w:spacing w:before="0" w:after="0"/>
            </w:pPr>
            <w:r>
              <w:rPr>
                <w:rFonts w:ascii="Calibri" w:hAnsi="Calibri"/>
                <w:b/>
                <w:color w:val="336699"/>
                <w:sz w:val="17"/>
              </w:rPr>
              <w:t>Business Interpretation</w:t>
            </w:r>
          </w:p>
        </w:tc>
        <w:tc>
          <w:tcPr>
            <w:tcW w:type="dxa" w:w="4968"/>
            <w:tcMar>
              <w:top w:w="60" w:type="dxa"/>
              <w:bottom w:w="60" w:type="dxa"/>
              <w:left w:w="80" w:type="dxa"/>
              <w:right w:w="80" w:type="dxa"/>
            </w:tcMar>
          </w:tcPr>
          <w:p>
            <w:pPr>
              <w:spacing w:before="0" w:after="0"/>
            </w:pPr>
            <w:r>
              <w:rPr>
                <w:rFonts w:ascii="Calibri" w:hAnsi="Calibri"/>
                <w:color w:val="222222"/>
                <w:sz w:val="17"/>
              </w:rPr>
              <w:t>Employment duration alone is not a protective insulation against default. Borrowers with long job tenure frequently take on larger loan amounts ($12,500 avg vs $9,800 for &lt;1 yr), equalizing default probability.</w:t>
            </w:r>
          </w:p>
        </w:tc>
      </w:tr>
      <w:tr>
        <w:tc>
          <w:tcPr>
            <w:tcW w:type="dxa" w:w="4968"/>
            <w:shd w:fill="F4F6F9"/>
            <w:tcMar>
              <w:top w:w="60" w:type="dxa"/>
              <w:bottom w:w="60" w:type="dxa"/>
              <w:left w:w="80" w:type="dxa"/>
              <w:right w:w="80" w:type="dxa"/>
            </w:tcMar>
          </w:tcPr>
          <w:p>
            <w:pPr>
              <w:spacing w:before="0" w:after="0"/>
            </w:pPr>
            <w:r>
              <w:rPr>
                <w:rFonts w:ascii="Calibri" w:hAnsi="Calibri"/>
                <w:b/>
                <w:color w:val="336699"/>
                <w:sz w:val="17"/>
              </w:rPr>
              <w:t>Analyst Recommendation</w:t>
            </w:r>
          </w:p>
        </w:tc>
        <w:tc>
          <w:tcPr>
            <w:tcW w:type="dxa" w:w="4968"/>
            <w:tcMar>
              <w:top w:w="60" w:type="dxa"/>
              <w:bottom w:w="60" w:type="dxa"/>
              <w:left w:w="80" w:type="dxa"/>
              <w:right w:w="80" w:type="dxa"/>
            </w:tcMar>
          </w:tcPr>
          <w:p>
            <w:pPr>
              <w:spacing w:before="0" w:after="0"/>
            </w:pPr>
            <w:r>
              <w:rPr>
                <w:rFonts w:ascii="Calibri" w:hAnsi="Calibri"/>
                <w:color w:val="222222"/>
                <w:sz w:val="17"/>
              </w:rPr>
              <w:t>Do not treat 10+ year employment as a risk-mitigating substitute for low DTI. Underwriting must evaluate disposable free cash flow rather than relying solely on job longevity.</w:t>
            </w:r>
          </w:p>
        </w:tc>
      </w:tr>
    </w:tbl>
    <w:p>
      <w:pPr>
        <w:keepNext/>
        <w:spacing w:before="160" w:after="40"/>
      </w:pPr>
      <w:r>
        <w:rPr>
          <w:rFonts w:ascii="Calibri" w:hAnsi="Calibri"/>
          <w:b/>
          <w:color w:val="1B365D"/>
          <w:sz w:val="22"/>
        </w:rPr>
        <w:t>Question 11: What is the average borrower Debt-to-Income (DTI) ratio, and how does leverage impact charge-offs?</w:t>
      </w:r>
    </w:p>
    <w:tbl>
      <w:tblPr>
        <w:tblW w:type="auto" w:w="0"/>
        <w:jc w:val="center"/>
        <w:tblLayout w:type="fixed"/>
        <w:tblLook w:firstColumn="1" w:firstRow="1" w:lastColumn="0" w:lastRow="0" w:noHBand="0" w:noVBand="1" w:val="04A0"/>
        <w:tblBorders>
          <w:top w:val="single" w:sz="4" w:space="0" w:color="E5E7EB"/>
          <w:bottom w:val="single" w:sz="4" w:space="0" w:color="E5E7EB"/>
          <w:left w:val="none"/>
          <w:right w:val="none"/>
          <w:insideH w:val="single" w:sz="4" w:space="0" w:color="E5E7EB"/>
          <w:insideV w:val="none"/>
        </w:tblBorders>
      </w:tblPr>
      <w:tblGrid>
        <w:gridCol w:w="2304"/>
        <w:gridCol w:w="7632"/>
      </w:tblGrid>
      <w:tr>
        <w:tc>
          <w:tcPr>
            <w:tcW w:type="dxa" w:w="4968"/>
            <w:shd w:fill="F4F6F9"/>
            <w:tcMar>
              <w:top w:w="60" w:type="dxa"/>
              <w:bottom w:w="60" w:type="dxa"/>
              <w:left w:w="80" w:type="dxa"/>
              <w:right w:w="80" w:type="dxa"/>
            </w:tcMar>
          </w:tcPr>
          <w:p>
            <w:pPr>
              <w:spacing w:before="0" w:after="0"/>
            </w:pPr>
            <w:r>
              <w:rPr>
                <w:rFonts w:ascii="Calibri" w:hAnsi="Calibri"/>
                <w:b/>
                <w:color w:val="336699"/>
                <w:sz w:val="17"/>
              </w:rPr>
              <w:t>Visualization Used</w:t>
            </w:r>
          </w:p>
        </w:tc>
        <w:tc>
          <w:tcPr>
            <w:tcW w:type="dxa" w:w="4968"/>
            <w:tcMar>
              <w:top w:w="60" w:type="dxa"/>
              <w:bottom w:w="60" w:type="dxa"/>
              <w:left w:w="80" w:type="dxa"/>
              <w:right w:w="80" w:type="dxa"/>
            </w:tcMar>
          </w:tcPr>
          <w:p>
            <w:pPr>
              <w:spacing w:before="0" w:after="0"/>
            </w:pPr>
            <w:r>
              <w:rPr>
                <w:rFonts w:ascii="Calibri" w:hAnsi="Calibri"/>
                <w:color w:val="222222"/>
                <w:sz w:val="17"/>
              </w:rPr>
              <w:t>Average DTI Distribution Histogram &amp; Loan Status DTI Matrix</w:t>
            </w:r>
          </w:p>
        </w:tc>
      </w:tr>
      <w:tr>
        <w:tc>
          <w:tcPr>
            <w:tcW w:type="dxa" w:w="4968"/>
            <w:shd w:fill="F4F6F9"/>
            <w:tcMar>
              <w:top w:w="60" w:type="dxa"/>
              <w:bottom w:w="60" w:type="dxa"/>
              <w:left w:w="80" w:type="dxa"/>
              <w:right w:w="80" w:type="dxa"/>
            </w:tcMar>
          </w:tcPr>
          <w:p>
            <w:pPr>
              <w:spacing w:before="0" w:after="0"/>
            </w:pPr>
            <w:r>
              <w:rPr>
                <w:rFonts w:ascii="Calibri" w:hAnsi="Calibri"/>
                <w:b/>
                <w:color w:val="336699"/>
                <w:sz w:val="17"/>
              </w:rPr>
              <w:t>Actual Dataset Answer</w:t>
            </w:r>
          </w:p>
        </w:tc>
        <w:tc>
          <w:tcPr>
            <w:tcW w:type="dxa" w:w="4968"/>
            <w:tcMar>
              <w:top w:w="60" w:type="dxa"/>
              <w:bottom w:w="60" w:type="dxa"/>
              <w:left w:w="80" w:type="dxa"/>
              <w:right w:w="80" w:type="dxa"/>
            </w:tcMar>
          </w:tcPr>
          <w:p>
            <w:pPr>
              <w:spacing w:before="0" w:after="0"/>
            </w:pPr>
            <w:r>
              <w:rPr>
                <w:rFonts w:ascii="Calibri" w:hAnsi="Calibri"/>
                <w:color w:val="222222"/>
                <w:sz w:val="17"/>
              </w:rPr>
              <w:t>The overall portfolio average DTI stands at 13.33%. Charged-off loans exhibit an average DTI of 14.00%, fully paid loans average 13.17%, and current active loans average 14.72%.</w:t>
            </w:r>
          </w:p>
        </w:tc>
      </w:tr>
      <w:tr>
        <w:tc>
          <w:tcPr>
            <w:tcW w:type="dxa" w:w="4968"/>
            <w:shd w:fill="F4F6F9"/>
            <w:tcMar>
              <w:top w:w="60" w:type="dxa"/>
              <w:bottom w:w="60" w:type="dxa"/>
              <w:left w:w="80" w:type="dxa"/>
              <w:right w:w="80" w:type="dxa"/>
            </w:tcMar>
          </w:tcPr>
          <w:p>
            <w:pPr>
              <w:spacing w:before="0" w:after="0"/>
            </w:pPr>
            <w:r>
              <w:rPr>
                <w:rFonts w:ascii="Calibri" w:hAnsi="Calibri"/>
                <w:b/>
                <w:color w:val="336699"/>
                <w:sz w:val="17"/>
              </w:rPr>
              <w:t>Business Interpretation</w:t>
            </w:r>
          </w:p>
        </w:tc>
        <w:tc>
          <w:tcPr>
            <w:tcW w:type="dxa" w:w="4968"/>
            <w:tcMar>
              <w:top w:w="60" w:type="dxa"/>
              <w:bottom w:w="60" w:type="dxa"/>
              <w:left w:w="80" w:type="dxa"/>
              <w:right w:w="80" w:type="dxa"/>
            </w:tcMar>
          </w:tcPr>
          <w:p>
            <w:pPr>
              <w:spacing w:before="0" w:after="0"/>
            </w:pPr>
            <w:r>
              <w:rPr>
                <w:rFonts w:ascii="Calibri" w:hAnsi="Calibri"/>
                <w:color w:val="222222"/>
                <w:sz w:val="17"/>
              </w:rPr>
              <w:t>A higher DTI directly correlates with credit deterioration. Borrowers allocating over 14% of their declared gross income to fixed debt service show significantly higher vulnerability to default.</w:t>
            </w:r>
          </w:p>
        </w:tc>
      </w:tr>
      <w:tr>
        <w:tc>
          <w:tcPr>
            <w:tcW w:type="dxa" w:w="4968"/>
            <w:shd w:fill="F4F6F9"/>
            <w:tcMar>
              <w:top w:w="60" w:type="dxa"/>
              <w:bottom w:w="60" w:type="dxa"/>
              <w:left w:w="80" w:type="dxa"/>
              <w:right w:w="80" w:type="dxa"/>
            </w:tcMar>
          </w:tcPr>
          <w:p>
            <w:pPr>
              <w:spacing w:before="0" w:after="0"/>
            </w:pPr>
            <w:r>
              <w:rPr>
                <w:rFonts w:ascii="Calibri" w:hAnsi="Calibri"/>
                <w:b/>
                <w:color w:val="336699"/>
                <w:sz w:val="17"/>
              </w:rPr>
              <w:t>Analyst Recommendation</w:t>
            </w:r>
          </w:p>
        </w:tc>
        <w:tc>
          <w:tcPr>
            <w:tcW w:type="dxa" w:w="4968"/>
            <w:tcMar>
              <w:top w:w="60" w:type="dxa"/>
              <w:bottom w:w="60" w:type="dxa"/>
              <w:left w:w="80" w:type="dxa"/>
              <w:right w:w="80" w:type="dxa"/>
            </w:tcMar>
          </w:tcPr>
          <w:p>
            <w:pPr>
              <w:spacing w:before="0" w:after="0"/>
            </w:pPr>
            <w:r>
              <w:rPr>
                <w:rFonts w:ascii="Calibri" w:hAnsi="Calibri"/>
                <w:color w:val="222222"/>
                <w:sz w:val="17"/>
              </w:rPr>
              <w:t>Establish a hard underwriting cap at 20% DTI for unsecured personal facilities. Require proof of secondary liquid reserves for applicants with DTI between 15% and 20%.</w:t>
            </w:r>
          </w:p>
        </w:tc>
      </w:tr>
    </w:tbl>
    <w:p>
      <w:pPr>
        <w:keepNext/>
        <w:spacing w:before="160" w:after="40"/>
      </w:pPr>
      <w:r>
        <w:rPr>
          <w:rFonts w:ascii="Calibri" w:hAnsi="Calibri"/>
          <w:b/>
          <w:color w:val="1B365D"/>
          <w:sz w:val="22"/>
        </w:rPr>
        <w:t>Question 12: How did lending velocity, funding, and collections trend over the calendar year?</w:t>
      </w:r>
    </w:p>
    <w:tbl>
      <w:tblPr>
        <w:tblW w:type="auto" w:w="0"/>
        <w:jc w:val="center"/>
        <w:tblLayout w:type="fixed"/>
        <w:tblLook w:firstColumn="1" w:firstRow="1" w:lastColumn="0" w:lastRow="0" w:noHBand="0" w:noVBand="1" w:val="04A0"/>
        <w:tblBorders>
          <w:top w:val="single" w:sz="4" w:space="0" w:color="E5E7EB"/>
          <w:bottom w:val="single" w:sz="4" w:space="0" w:color="E5E7EB"/>
          <w:left w:val="none"/>
          <w:right w:val="none"/>
          <w:insideH w:val="single" w:sz="4" w:space="0" w:color="E5E7EB"/>
          <w:insideV w:val="none"/>
        </w:tblBorders>
      </w:tblPr>
      <w:tblGrid>
        <w:gridCol w:w="2304"/>
        <w:gridCol w:w="7632"/>
      </w:tblGrid>
      <w:tr>
        <w:tc>
          <w:tcPr>
            <w:tcW w:type="dxa" w:w="4968"/>
            <w:shd w:fill="F4F6F9"/>
            <w:tcMar>
              <w:top w:w="60" w:type="dxa"/>
              <w:bottom w:w="60" w:type="dxa"/>
              <w:left w:w="80" w:type="dxa"/>
              <w:right w:w="80" w:type="dxa"/>
            </w:tcMar>
          </w:tcPr>
          <w:p>
            <w:pPr>
              <w:spacing w:before="0" w:after="0"/>
            </w:pPr>
            <w:r>
              <w:rPr>
                <w:rFonts w:ascii="Calibri" w:hAnsi="Calibri"/>
                <w:b/>
                <w:color w:val="336699"/>
                <w:sz w:val="17"/>
              </w:rPr>
              <w:t>Visualization Used</w:t>
            </w:r>
          </w:p>
        </w:tc>
        <w:tc>
          <w:tcPr>
            <w:tcW w:type="dxa" w:w="4968"/>
            <w:tcMar>
              <w:top w:w="60" w:type="dxa"/>
              <w:bottom w:w="60" w:type="dxa"/>
              <w:left w:w="80" w:type="dxa"/>
              <w:right w:w="80" w:type="dxa"/>
            </w:tcMar>
          </w:tcPr>
          <w:p>
            <w:pPr>
              <w:spacing w:before="0" w:after="0"/>
            </w:pPr>
            <w:r>
              <w:rPr>
                <w:rFonts w:ascii="Calibri" w:hAnsi="Calibri"/>
                <w:color w:val="222222"/>
                <w:sz w:val="17"/>
              </w:rPr>
              <w:t>Monthly Trends by Issue Date Line &amp; Clustered Bar Chart</w:t>
            </w:r>
          </w:p>
        </w:tc>
      </w:tr>
      <w:tr>
        <w:tc>
          <w:tcPr>
            <w:tcW w:type="dxa" w:w="4968"/>
            <w:shd w:fill="F4F6F9"/>
            <w:tcMar>
              <w:top w:w="60" w:type="dxa"/>
              <w:bottom w:w="60" w:type="dxa"/>
              <w:left w:w="80" w:type="dxa"/>
              <w:right w:w="80" w:type="dxa"/>
            </w:tcMar>
          </w:tcPr>
          <w:p>
            <w:pPr>
              <w:spacing w:before="0" w:after="0"/>
            </w:pPr>
            <w:r>
              <w:rPr>
                <w:rFonts w:ascii="Calibri" w:hAnsi="Calibri"/>
                <w:b/>
                <w:color w:val="336699"/>
                <w:sz w:val="17"/>
              </w:rPr>
              <w:t>Actual Dataset Answer</w:t>
            </w:r>
          </w:p>
        </w:tc>
        <w:tc>
          <w:tcPr>
            <w:tcW w:type="dxa" w:w="4968"/>
            <w:tcMar>
              <w:top w:w="60" w:type="dxa"/>
              <w:bottom w:w="60" w:type="dxa"/>
              <w:left w:w="80" w:type="dxa"/>
              <w:right w:w="80" w:type="dxa"/>
            </w:tcMar>
          </w:tcPr>
          <w:p>
            <w:pPr>
              <w:spacing w:before="0" w:after="0"/>
            </w:pPr>
            <w:r>
              <w:rPr>
                <w:rFonts w:ascii="Calibri" w:hAnsi="Calibri"/>
                <w:color w:val="222222"/>
                <w:sz w:val="17"/>
              </w:rPr>
              <w:t>Originations expanded aggressively throughout the year, surging from ~1,560 applications and ~$17.5M funded in January to a peak of 4,314 applications and $53.98M funded in December (+208% funding growth from Q1 to Q4).</w:t>
            </w:r>
          </w:p>
        </w:tc>
      </w:tr>
      <w:tr>
        <w:tc>
          <w:tcPr>
            <w:tcW w:type="dxa" w:w="4968"/>
            <w:shd w:fill="F4F6F9"/>
            <w:tcMar>
              <w:top w:w="60" w:type="dxa"/>
              <w:bottom w:w="60" w:type="dxa"/>
              <w:left w:w="80" w:type="dxa"/>
              <w:right w:w="80" w:type="dxa"/>
            </w:tcMar>
          </w:tcPr>
          <w:p>
            <w:pPr>
              <w:spacing w:before="0" w:after="0"/>
            </w:pPr>
            <w:r>
              <w:rPr>
                <w:rFonts w:ascii="Calibri" w:hAnsi="Calibri"/>
                <w:b/>
                <w:color w:val="336699"/>
                <w:sz w:val="17"/>
              </w:rPr>
              <w:t>Business Interpretation</w:t>
            </w:r>
          </w:p>
        </w:tc>
        <w:tc>
          <w:tcPr>
            <w:tcW w:type="dxa" w:w="4968"/>
            <w:tcMar>
              <w:top w:w="60" w:type="dxa"/>
              <w:bottom w:w="60" w:type="dxa"/>
              <w:left w:w="80" w:type="dxa"/>
              <w:right w:w="80" w:type="dxa"/>
            </w:tcMar>
          </w:tcPr>
          <w:p>
            <w:pPr>
              <w:spacing w:before="0" w:after="0"/>
            </w:pPr>
            <w:r>
              <w:rPr>
                <w:rFonts w:ascii="Calibri" w:hAnsi="Calibri"/>
                <w:color w:val="222222"/>
                <w:sz w:val="17"/>
              </w:rPr>
              <w:t>Pronounced year-end seasonality and aggressive marketing campaigns drove massive portfolio expansion in Q4. However, rapidly accelerated fourth-quarter origination presents concentrated seasoning risk for the subsequent operational year.</w:t>
            </w:r>
          </w:p>
        </w:tc>
      </w:tr>
      <w:tr>
        <w:tc>
          <w:tcPr>
            <w:tcW w:type="dxa" w:w="4968"/>
            <w:shd w:fill="F4F6F9"/>
            <w:tcMar>
              <w:top w:w="60" w:type="dxa"/>
              <w:bottom w:w="60" w:type="dxa"/>
              <w:left w:w="80" w:type="dxa"/>
              <w:right w:w="80" w:type="dxa"/>
            </w:tcMar>
          </w:tcPr>
          <w:p>
            <w:pPr>
              <w:spacing w:before="0" w:after="0"/>
            </w:pPr>
            <w:r>
              <w:rPr>
                <w:rFonts w:ascii="Calibri" w:hAnsi="Calibri"/>
                <w:b/>
                <w:color w:val="336699"/>
                <w:sz w:val="17"/>
              </w:rPr>
              <w:t>Analyst Recommendation</w:t>
            </w:r>
          </w:p>
        </w:tc>
        <w:tc>
          <w:tcPr>
            <w:tcW w:type="dxa" w:w="4968"/>
            <w:tcMar>
              <w:top w:w="60" w:type="dxa"/>
              <w:bottom w:w="60" w:type="dxa"/>
              <w:left w:w="80" w:type="dxa"/>
              <w:right w:w="80" w:type="dxa"/>
            </w:tcMar>
          </w:tcPr>
          <w:p>
            <w:pPr>
              <w:spacing w:before="0" w:after="0"/>
            </w:pPr>
            <w:r>
              <w:rPr>
                <w:rFonts w:ascii="Calibri" w:hAnsi="Calibri"/>
                <w:color w:val="222222"/>
                <w:sz w:val="17"/>
              </w:rPr>
              <w:t>Ensure underwriting staffing scales alongside seasonal Q4 surges to prevent quality slippage. Schedule a comprehensive 90-day cohort performance review every March.</w:t>
            </w:r>
          </w:p>
        </w:tc>
      </w:tr>
    </w:tbl>
    <w:p>
      <w:pPr>
        <w:keepNext/>
        <w:spacing w:before="160" w:after="40"/>
      </w:pPr>
      <w:r>
        <w:rPr>
          <w:rFonts w:ascii="Calibri" w:hAnsi="Calibri"/>
          <w:b/>
          <w:color w:val="1B365D"/>
          <w:sz w:val="22"/>
        </w:rPr>
        <w:t>Question 13: What occurred in December (Month-to-Date) compared to November (Previous Month-to-Date)?</w:t>
      </w:r>
    </w:p>
    <w:tbl>
      <w:tblPr>
        <w:tblW w:type="auto" w:w="0"/>
        <w:jc w:val="center"/>
        <w:tblLayout w:type="fixed"/>
        <w:tblLook w:firstColumn="1" w:firstRow="1" w:lastColumn="0" w:lastRow="0" w:noHBand="0" w:noVBand="1" w:val="04A0"/>
        <w:tblBorders>
          <w:top w:val="single" w:sz="4" w:space="0" w:color="E5E7EB"/>
          <w:bottom w:val="single" w:sz="4" w:space="0" w:color="E5E7EB"/>
          <w:left w:val="none"/>
          <w:right w:val="none"/>
          <w:insideH w:val="single" w:sz="4" w:space="0" w:color="E5E7EB"/>
          <w:insideV w:val="none"/>
        </w:tblBorders>
      </w:tblPr>
      <w:tblGrid>
        <w:gridCol w:w="2304"/>
        <w:gridCol w:w="7632"/>
      </w:tblGrid>
      <w:tr>
        <w:tc>
          <w:tcPr>
            <w:tcW w:type="dxa" w:w="4968"/>
            <w:shd w:fill="F4F6F9"/>
            <w:tcMar>
              <w:top w:w="60" w:type="dxa"/>
              <w:bottom w:w="60" w:type="dxa"/>
              <w:left w:w="80" w:type="dxa"/>
              <w:right w:w="80" w:type="dxa"/>
            </w:tcMar>
          </w:tcPr>
          <w:p>
            <w:pPr>
              <w:spacing w:before="0" w:after="0"/>
            </w:pPr>
            <w:r>
              <w:rPr>
                <w:rFonts w:ascii="Calibri" w:hAnsi="Calibri"/>
                <w:b/>
                <w:color w:val="336699"/>
                <w:sz w:val="17"/>
              </w:rPr>
              <w:t>Visualization Used</w:t>
            </w:r>
          </w:p>
        </w:tc>
        <w:tc>
          <w:tcPr>
            <w:tcW w:type="dxa" w:w="4968"/>
            <w:tcMar>
              <w:top w:w="60" w:type="dxa"/>
              <w:bottom w:w="60" w:type="dxa"/>
              <w:left w:w="80" w:type="dxa"/>
              <w:right w:w="80" w:type="dxa"/>
            </w:tcMar>
          </w:tcPr>
          <w:p>
            <w:pPr>
              <w:spacing w:before="0" w:after="0"/>
            </w:pPr>
            <w:r>
              <w:rPr>
                <w:rFonts w:ascii="Calibri" w:hAnsi="Calibri"/>
                <w:color w:val="222222"/>
                <w:sz w:val="17"/>
              </w:rPr>
              <w:t>MTD vs. PMTD Operational Comparison Cards</w:t>
            </w:r>
          </w:p>
        </w:tc>
      </w:tr>
      <w:tr>
        <w:tc>
          <w:tcPr>
            <w:tcW w:type="dxa" w:w="4968"/>
            <w:shd w:fill="F4F6F9"/>
            <w:tcMar>
              <w:top w:w="60" w:type="dxa"/>
              <w:bottom w:w="60" w:type="dxa"/>
              <w:left w:w="80" w:type="dxa"/>
              <w:right w:w="80" w:type="dxa"/>
            </w:tcMar>
          </w:tcPr>
          <w:p>
            <w:pPr>
              <w:spacing w:before="0" w:after="0"/>
            </w:pPr>
            <w:r>
              <w:rPr>
                <w:rFonts w:ascii="Calibri" w:hAnsi="Calibri"/>
                <w:b/>
                <w:color w:val="336699"/>
                <w:sz w:val="17"/>
              </w:rPr>
              <w:t>Actual Dataset Answer</w:t>
            </w:r>
          </w:p>
        </w:tc>
        <w:tc>
          <w:tcPr>
            <w:tcW w:type="dxa" w:w="4968"/>
            <w:tcMar>
              <w:top w:w="60" w:type="dxa"/>
              <w:bottom w:w="60" w:type="dxa"/>
              <w:left w:w="80" w:type="dxa"/>
              <w:right w:w="80" w:type="dxa"/>
            </w:tcMar>
          </w:tcPr>
          <w:p>
            <w:pPr>
              <w:spacing w:before="0" w:after="0"/>
            </w:pPr>
            <w:r>
              <w:rPr>
                <w:rFonts w:ascii="Calibri" w:hAnsi="Calibri"/>
                <w:color w:val="222222"/>
                <w:sz w:val="17"/>
              </w:rPr>
              <w:t>Total applications increased from 4,035 (Nov) to 4,314 (Dec), representing a +6.9% MoM growth. Funded amount rose from $47.75M to $53.98M (+13.0% MoM). Amount received expanded from $50.15M to $58.07M (+15.8% MoM). Average interest rate ticked up from 11.95% to 12.36% (+3.5% MoM), and DTI rose from 13.32% to 13.68% (+2.7% MoM).</w:t>
            </w:r>
          </w:p>
        </w:tc>
      </w:tr>
      <w:tr>
        <w:tc>
          <w:tcPr>
            <w:tcW w:type="dxa" w:w="4968"/>
            <w:shd w:fill="F4F6F9"/>
            <w:tcMar>
              <w:top w:w="60" w:type="dxa"/>
              <w:bottom w:w="60" w:type="dxa"/>
              <w:left w:w="80" w:type="dxa"/>
              <w:right w:w="80" w:type="dxa"/>
            </w:tcMar>
          </w:tcPr>
          <w:p>
            <w:pPr>
              <w:spacing w:before="0" w:after="0"/>
            </w:pPr>
            <w:r>
              <w:rPr>
                <w:rFonts w:ascii="Calibri" w:hAnsi="Calibri"/>
                <w:b/>
                <w:color w:val="336699"/>
                <w:sz w:val="17"/>
              </w:rPr>
              <w:t>Business Interpretation</w:t>
            </w:r>
          </w:p>
        </w:tc>
        <w:tc>
          <w:tcPr>
            <w:tcW w:type="dxa" w:w="4968"/>
            <w:tcMar>
              <w:top w:w="60" w:type="dxa"/>
              <w:bottom w:w="60" w:type="dxa"/>
              <w:left w:w="80" w:type="dxa"/>
              <w:right w:w="80" w:type="dxa"/>
            </w:tcMar>
          </w:tcPr>
          <w:p>
            <w:pPr>
              <w:spacing w:before="0" w:after="0"/>
            </w:pPr>
            <w:r>
              <w:rPr>
                <w:rFonts w:ascii="Calibri" w:hAnsi="Calibri"/>
                <w:color w:val="222222"/>
                <w:sz w:val="17"/>
              </w:rPr>
              <w:t>December showed exceptional top-line revenue momentum, with cash collection growth (+15.8%) outpacing disbursement growth (+13.0%). However, simultaneous increases in interest rates and borrower DTI signal rising credit stress.</w:t>
            </w:r>
          </w:p>
        </w:tc>
      </w:tr>
      <w:tr>
        <w:tc>
          <w:tcPr>
            <w:tcW w:type="dxa" w:w="4968"/>
            <w:shd w:fill="F4F6F9"/>
            <w:tcMar>
              <w:top w:w="60" w:type="dxa"/>
              <w:bottom w:w="60" w:type="dxa"/>
              <w:left w:w="80" w:type="dxa"/>
              <w:right w:w="80" w:type="dxa"/>
            </w:tcMar>
          </w:tcPr>
          <w:p>
            <w:pPr>
              <w:spacing w:before="0" w:after="0"/>
            </w:pPr>
            <w:r>
              <w:rPr>
                <w:rFonts w:ascii="Calibri" w:hAnsi="Calibri"/>
                <w:b/>
                <w:color w:val="336699"/>
                <w:sz w:val="17"/>
              </w:rPr>
              <w:t>Analyst Recommendation</w:t>
            </w:r>
          </w:p>
        </w:tc>
        <w:tc>
          <w:tcPr>
            <w:tcW w:type="dxa" w:w="4968"/>
            <w:tcMar>
              <w:top w:w="60" w:type="dxa"/>
              <w:bottom w:w="60" w:type="dxa"/>
              <w:left w:w="80" w:type="dxa"/>
              <w:right w:w="80" w:type="dxa"/>
            </w:tcMar>
          </w:tcPr>
          <w:p>
            <w:pPr>
              <w:spacing w:before="0" w:after="0"/>
            </w:pPr>
            <w:r>
              <w:rPr>
                <w:rFonts w:ascii="Calibri" w:hAnsi="Calibri"/>
                <w:color w:val="222222"/>
                <w:sz w:val="17"/>
              </w:rPr>
              <w:t>Closely monitor January and February first-payment defaults (FPD) on the December cohort to identify potential early-stage credit erosion.</w:t>
            </w:r>
          </w:p>
        </w:tc>
      </w:tr>
    </w:tbl>
    <w:p>
      <w:pPr>
        <w:keepNext/>
        <w:spacing w:before="160" w:after="40"/>
      </w:pPr>
      <w:r>
        <w:rPr>
          <w:rFonts w:ascii="Calibri" w:hAnsi="Calibri"/>
          <w:b/>
          <w:color w:val="1B365D"/>
          <w:sz w:val="22"/>
        </w:rPr>
        <w:t>Question 14: Does third-party income verification effectively suppress loan default rates?</w:t>
      </w:r>
    </w:p>
    <w:tbl>
      <w:tblPr>
        <w:tblW w:type="auto" w:w="0"/>
        <w:jc w:val="center"/>
        <w:tblLayout w:type="fixed"/>
        <w:tblLook w:firstColumn="1" w:firstRow="1" w:lastColumn="0" w:lastRow="0" w:noHBand="0" w:noVBand="1" w:val="04A0"/>
        <w:tblBorders>
          <w:top w:val="single" w:sz="4" w:space="0" w:color="E5E7EB"/>
          <w:bottom w:val="single" w:sz="4" w:space="0" w:color="E5E7EB"/>
          <w:left w:val="none"/>
          <w:right w:val="none"/>
          <w:insideH w:val="single" w:sz="4" w:space="0" w:color="E5E7EB"/>
          <w:insideV w:val="none"/>
        </w:tblBorders>
      </w:tblPr>
      <w:tblGrid>
        <w:gridCol w:w="2304"/>
        <w:gridCol w:w="7632"/>
      </w:tblGrid>
      <w:tr>
        <w:tc>
          <w:tcPr>
            <w:tcW w:type="dxa" w:w="4968"/>
            <w:shd w:fill="F4F6F9"/>
            <w:tcMar>
              <w:top w:w="60" w:type="dxa"/>
              <w:bottom w:w="60" w:type="dxa"/>
              <w:left w:w="80" w:type="dxa"/>
              <w:right w:w="80" w:type="dxa"/>
            </w:tcMar>
          </w:tcPr>
          <w:p>
            <w:pPr>
              <w:spacing w:before="0" w:after="0"/>
            </w:pPr>
            <w:r>
              <w:rPr>
                <w:rFonts w:ascii="Calibri" w:hAnsi="Calibri"/>
                <w:b/>
                <w:color w:val="336699"/>
                <w:sz w:val="17"/>
              </w:rPr>
              <w:t>Visualization Used</w:t>
            </w:r>
          </w:p>
        </w:tc>
        <w:tc>
          <w:tcPr>
            <w:tcW w:type="dxa" w:w="4968"/>
            <w:tcMar>
              <w:top w:w="60" w:type="dxa"/>
              <w:bottom w:w="60" w:type="dxa"/>
              <w:left w:w="80" w:type="dxa"/>
              <w:right w:w="80" w:type="dxa"/>
            </w:tcMar>
          </w:tcPr>
          <w:p>
            <w:pPr>
              <w:spacing w:before="0" w:after="0"/>
            </w:pPr>
            <w:r>
              <w:rPr>
                <w:rFonts w:ascii="Calibri" w:hAnsi="Calibri"/>
                <w:color w:val="222222"/>
                <w:sz w:val="17"/>
              </w:rPr>
              <w:t>Verification Status vs. Loan Status Matrix (Verified / Source Verified / Not Verified)</w:t>
            </w:r>
          </w:p>
        </w:tc>
      </w:tr>
      <w:tr>
        <w:tc>
          <w:tcPr>
            <w:tcW w:type="dxa" w:w="4968"/>
            <w:shd w:fill="F4F6F9"/>
            <w:tcMar>
              <w:top w:w="60" w:type="dxa"/>
              <w:bottom w:w="60" w:type="dxa"/>
              <w:left w:w="80" w:type="dxa"/>
              <w:right w:w="80" w:type="dxa"/>
            </w:tcMar>
          </w:tcPr>
          <w:p>
            <w:pPr>
              <w:spacing w:before="0" w:after="0"/>
            </w:pPr>
            <w:r>
              <w:rPr>
                <w:rFonts w:ascii="Calibri" w:hAnsi="Calibri"/>
                <w:b/>
                <w:color w:val="336699"/>
                <w:sz w:val="17"/>
              </w:rPr>
              <w:t>Actual Dataset Answer</w:t>
            </w:r>
          </w:p>
        </w:tc>
        <w:tc>
          <w:tcPr>
            <w:tcW w:type="dxa" w:w="4968"/>
            <w:tcMar>
              <w:top w:w="60" w:type="dxa"/>
              <w:bottom w:w="60" w:type="dxa"/>
              <w:left w:w="80" w:type="dxa"/>
              <w:right w:w="80" w:type="dxa"/>
            </w:tcMar>
          </w:tcPr>
          <w:p>
            <w:pPr>
              <w:spacing w:before="0" w:after="0"/>
            </w:pPr>
            <w:r>
              <w:rPr>
                <w:rFonts w:ascii="Calibri" w:hAnsi="Calibri"/>
                <w:color w:val="222222"/>
                <w:sz w:val="17"/>
              </w:rPr>
              <w:t>Counterintuitively, Verified loans display a higher charge-off rate (~15.2%) than Not Verified loans (~12.1%). 'Not Verified' comprises ~16,800 loans, 'Verified' ~12,800 loans, and 'Source Verified' ~8,900 loans.</w:t>
            </w:r>
          </w:p>
        </w:tc>
      </w:tr>
      <w:tr>
        <w:tc>
          <w:tcPr>
            <w:tcW w:type="dxa" w:w="4968"/>
            <w:shd w:fill="F4F6F9"/>
            <w:tcMar>
              <w:top w:w="60" w:type="dxa"/>
              <w:bottom w:w="60" w:type="dxa"/>
              <w:left w:w="80" w:type="dxa"/>
              <w:right w:w="80" w:type="dxa"/>
            </w:tcMar>
          </w:tcPr>
          <w:p>
            <w:pPr>
              <w:spacing w:before="0" w:after="0"/>
            </w:pPr>
            <w:r>
              <w:rPr>
                <w:rFonts w:ascii="Calibri" w:hAnsi="Calibri"/>
                <w:b/>
                <w:color w:val="336699"/>
                <w:sz w:val="17"/>
              </w:rPr>
              <w:t>Business Interpretation</w:t>
            </w:r>
          </w:p>
        </w:tc>
        <w:tc>
          <w:tcPr>
            <w:tcW w:type="dxa" w:w="4968"/>
            <w:tcMar>
              <w:top w:w="60" w:type="dxa"/>
              <w:bottom w:w="60" w:type="dxa"/>
              <w:left w:w="80" w:type="dxa"/>
              <w:right w:w="80" w:type="dxa"/>
            </w:tcMar>
          </w:tcPr>
          <w:p>
            <w:pPr>
              <w:spacing w:before="0" w:after="0"/>
            </w:pPr>
            <w:r>
              <w:rPr>
                <w:rFonts w:ascii="Calibri" w:hAnsi="Calibri"/>
                <w:color w:val="222222"/>
                <w:sz w:val="17"/>
              </w:rPr>
              <w:t>This reflects adverse underwriting selection: loan officers typically trigger rigorous verification workflows only when an applicant exhibits marginal credit scores, high DTI, or borderline risk profiles.</w:t>
            </w:r>
          </w:p>
        </w:tc>
      </w:tr>
      <w:tr>
        <w:tc>
          <w:tcPr>
            <w:tcW w:type="dxa" w:w="4968"/>
            <w:shd w:fill="F4F6F9"/>
            <w:tcMar>
              <w:top w:w="60" w:type="dxa"/>
              <w:bottom w:w="60" w:type="dxa"/>
              <w:left w:w="80" w:type="dxa"/>
              <w:right w:w="80" w:type="dxa"/>
            </w:tcMar>
          </w:tcPr>
          <w:p>
            <w:pPr>
              <w:spacing w:before="0" w:after="0"/>
            </w:pPr>
            <w:r>
              <w:rPr>
                <w:rFonts w:ascii="Calibri" w:hAnsi="Calibri"/>
                <w:b/>
                <w:color w:val="336699"/>
                <w:sz w:val="17"/>
              </w:rPr>
              <w:t>Analyst Recommendation</w:t>
            </w:r>
          </w:p>
        </w:tc>
        <w:tc>
          <w:tcPr>
            <w:tcW w:type="dxa" w:w="4968"/>
            <w:tcMar>
              <w:top w:w="60" w:type="dxa"/>
              <w:bottom w:w="60" w:type="dxa"/>
              <w:left w:w="80" w:type="dxa"/>
              <w:right w:w="80" w:type="dxa"/>
            </w:tcMar>
          </w:tcPr>
          <w:p>
            <w:pPr>
              <w:spacing w:before="0" w:after="0"/>
            </w:pPr>
            <w:r>
              <w:rPr>
                <w:rFonts w:ascii="Calibri" w:hAnsi="Calibri"/>
                <w:color w:val="222222"/>
                <w:sz w:val="17"/>
              </w:rPr>
              <w:t>Calibrate underwriting policy so that verification status is factored alongside automated risk tiering. Expand automated digital payroll API verification across all applicants regardless of score tier.</w:t>
            </w:r>
          </w:p>
        </w:tc>
      </w:tr>
    </w:tbl>
    <w:p>
      <w:pPr>
        <w:keepNext/>
        <w:spacing w:before="160" w:after="40"/>
      </w:pPr>
      <w:r>
        <w:rPr>
          <w:rFonts w:ascii="Calibri" w:hAnsi="Calibri"/>
          <w:b/>
          <w:color w:val="1B365D"/>
          <w:sz w:val="22"/>
        </w:rPr>
        <w:t>Question 15: What is the average interest rate charged across loan categories, and is pricing risk-based?</w:t>
      </w:r>
    </w:p>
    <w:tbl>
      <w:tblPr>
        <w:tblW w:type="auto" w:w="0"/>
        <w:jc w:val="center"/>
        <w:tblLayout w:type="fixed"/>
        <w:tblLook w:firstColumn="1" w:firstRow="1" w:lastColumn="0" w:lastRow="0" w:noHBand="0" w:noVBand="1" w:val="04A0"/>
        <w:tblBorders>
          <w:top w:val="single" w:sz="4" w:space="0" w:color="E5E7EB"/>
          <w:bottom w:val="single" w:sz="4" w:space="0" w:color="E5E7EB"/>
          <w:left w:val="none"/>
          <w:right w:val="none"/>
          <w:insideH w:val="single" w:sz="4" w:space="0" w:color="E5E7EB"/>
          <w:insideV w:val="none"/>
        </w:tblBorders>
      </w:tblPr>
      <w:tblGrid>
        <w:gridCol w:w="2304"/>
        <w:gridCol w:w="7632"/>
      </w:tblGrid>
      <w:tr>
        <w:tc>
          <w:tcPr>
            <w:tcW w:type="dxa" w:w="4968"/>
            <w:shd w:fill="F4F6F9"/>
            <w:tcMar>
              <w:top w:w="60" w:type="dxa"/>
              <w:bottom w:w="60" w:type="dxa"/>
              <w:left w:w="80" w:type="dxa"/>
              <w:right w:w="80" w:type="dxa"/>
            </w:tcMar>
          </w:tcPr>
          <w:p>
            <w:pPr>
              <w:spacing w:before="0" w:after="0"/>
            </w:pPr>
            <w:r>
              <w:rPr>
                <w:rFonts w:ascii="Calibri" w:hAnsi="Calibri"/>
                <w:b/>
                <w:color w:val="336699"/>
                <w:sz w:val="17"/>
              </w:rPr>
              <w:t>Visualization Used</w:t>
            </w:r>
          </w:p>
        </w:tc>
        <w:tc>
          <w:tcPr>
            <w:tcW w:type="dxa" w:w="4968"/>
            <w:tcMar>
              <w:top w:w="60" w:type="dxa"/>
              <w:bottom w:w="60" w:type="dxa"/>
              <w:left w:w="80" w:type="dxa"/>
              <w:right w:w="80" w:type="dxa"/>
            </w:tcMar>
          </w:tcPr>
          <w:p>
            <w:pPr>
              <w:spacing w:before="0" w:after="0"/>
            </w:pPr>
            <w:r>
              <w:rPr>
                <w:rFonts w:ascii="Calibri" w:hAnsi="Calibri"/>
                <w:color w:val="222222"/>
                <w:sz w:val="17"/>
              </w:rPr>
              <w:t>Interest Rate Distribution by Loan Grade &amp; Purpose Box Plot</w:t>
            </w:r>
          </w:p>
        </w:tc>
      </w:tr>
      <w:tr>
        <w:tc>
          <w:tcPr>
            <w:tcW w:type="dxa" w:w="4968"/>
            <w:shd w:fill="F4F6F9"/>
            <w:tcMar>
              <w:top w:w="60" w:type="dxa"/>
              <w:bottom w:w="60" w:type="dxa"/>
              <w:left w:w="80" w:type="dxa"/>
              <w:right w:w="80" w:type="dxa"/>
            </w:tcMar>
          </w:tcPr>
          <w:p>
            <w:pPr>
              <w:spacing w:before="0" w:after="0"/>
            </w:pPr>
            <w:r>
              <w:rPr>
                <w:rFonts w:ascii="Calibri" w:hAnsi="Calibri"/>
                <w:b/>
                <w:color w:val="336699"/>
                <w:sz w:val="17"/>
              </w:rPr>
              <w:t>Actual Dataset Answer</w:t>
            </w:r>
          </w:p>
        </w:tc>
        <w:tc>
          <w:tcPr>
            <w:tcW w:type="dxa" w:w="4968"/>
            <w:tcMar>
              <w:top w:w="60" w:type="dxa"/>
              <w:bottom w:w="60" w:type="dxa"/>
              <w:left w:w="80" w:type="dxa"/>
              <w:right w:w="80" w:type="dxa"/>
            </w:tcMar>
          </w:tcPr>
          <w:p>
            <w:pPr>
              <w:spacing w:before="0" w:after="0"/>
            </w:pPr>
            <w:r>
              <w:rPr>
                <w:rFonts w:ascii="Calibri" w:hAnsi="Calibri"/>
                <w:color w:val="222222"/>
                <w:sz w:val="17"/>
              </w:rPr>
              <w:t>The portfolio average interest rate is 12.05%. Fully paid loans enjoyed an average rate of 11.64%, current active loans average 15.10%, and charged-off loans were charged 13.88%. By grade, rates range from 7.34% (Grade A) to 20.85% (Grade G).</w:t>
            </w:r>
          </w:p>
        </w:tc>
      </w:tr>
      <w:tr>
        <w:tc>
          <w:tcPr>
            <w:tcW w:type="dxa" w:w="4968"/>
            <w:shd w:fill="F4F6F9"/>
            <w:tcMar>
              <w:top w:w="60" w:type="dxa"/>
              <w:bottom w:w="60" w:type="dxa"/>
              <w:left w:w="80" w:type="dxa"/>
              <w:right w:w="80" w:type="dxa"/>
            </w:tcMar>
          </w:tcPr>
          <w:p>
            <w:pPr>
              <w:spacing w:before="0" w:after="0"/>
            </w:pPr>
            <w:r>
              <w:rPr>
                <w:rFonts w:ascii="Calibri" w:hAnsi="Calibri"/>
                <w:b/>
                <w:color w:val="336699"/>
                <w:sz w:val="17"/>
              </w:rPr>
              <w:t>Business Interpretation</w:t>
            </w:r>
          </w:p>
        </w:tc>
        <w:tc>
          <w:tcPr>
            <w:tcW w:type="dxa" w:w="4968"/>
            <w:tcMar>
              <w:top w:w="60" w:type="dxa"/>
              <w:bottom w:w="60" w:type="dxa"/>
              <w:left w:w="80" w:type="dxa"/>
              <w:right w:w="80" w:type="dxa"/>
            </w:tcMar>
          </w:tcPr>
          <w:p>
            <w:pPr>
              <w:spacing w:before="0" w:after="0"/>
            </w:pPr>
            <w:r>
              <w:rPr>
                <w:rFonts w:ascii="Calibri" w:hAnsi="Calibri"/>
                <w:color w:val="222222"/>
                <w:sz w:val="17"/>
              </w:rPr>
              <w:t>Pricing is structured around risk-based tiers. However, the higher interest burden on vulnerable borrowers increases their monthly debt-service obligations, accelerating distress.</w:t>
            </w:r>
          </w:p>
        </w:tc>
      </w:tr>
      <w:tr>
        <w:tc>
          <w:tcPr>
            <w:tcW w:type="dxa" w:w="4968"/>
            <w:shd w:fill="F4F6F9"/>
            <w:tcMar>
              <w:top w:w="60" w:type="dxa"/>
              <w:bottom w:w="60" w:type="dxa"/>
              <w:left w:w="80" w:type="dxa"/>
              <w:right w:w="80" w:type="dxa"/>
            </w:tcMar>
          </w:tcPr>
          <w:p>
            <w:pPr>
              <w:spacing w:before="0" w:after="0"/>
            </w:pPr>
            <w:r>
              <w:rPr>
                <w:rFonts w:ascii="Calibri" w:hAnsi="Calibri"/>
                <w:b/>
                <w:color w:val="336699"/>
                <w:sz w:val="17"/>
              </w:rPr>
              <w:t>Analyst Recommendation</w:t>
            </w:r>
          </w:p>
        </w:tc>
        <w:tc>
          <w:tcPr>
            <w:tcW w:type="dxa" w:w="4968"/>
            <w:tcMar>
              <w:top w:w="60" w:type="dxa"/>
              <w:bottom w:w="60" w:type="dxa"/>
              <w:left w:w="80" w:type="dxa"/>
              <w:right w:w="80" w:type="dxa"/>
            </w:tcMar>
          </w:tcPr>
          <w:p>
            <w:pPr>
              <w:spacing w:before="0" w:after="0"/>
            </w:pPr>
            <w:r>
              <w:rPr>
                <w:rFonts w:ascii="Calibri" w:hAnsi="Calibri"/>
                <w:color w:val="222222"/>
                <w:sz w:val="17"/>
              </w:rPr>
              <w:t>Implement dynamic interest rate step-downs: offer a 100 bps rate reduction after 12 consecutive on-time monthly payments to incentivize sustained borrower performance.</w:t>
            </w:r>
          </w:p>
        </w:tc>
      </w:tr>
    </w:tbl>
    <w:p>
      <w:pPr>
        <w:keepNext/>
        <w:spacing w:before="160" w:after="40"/>
      </w:pPr>
      <w:r>
        <w:rPr>
          <w:rFonts w:ascii="Calibri" w:hAnsi="Calibri"/>
          <w:b/>
          <w:color w:val="1B365D"/>
          <w:sz w:val="22"/>
        </w:rPr>
        <w:t>Question 16: What is the status of active 'Current' loans, and how should cash flows be provisioned?</w:t>
      </w:r>
    </w:p>
    <w:tbl>
      <w:tblPr>
        <w:tblW w:type="auto" w:w="0"/>
        <w:jc w:val="center"/>
        <w:tblLayout w:type="fixed"/>
        <w:tblLook w:firstColumn="1" w:firstRow="1" w:lastColumn="0" w:lastRow="0" w:noHBand="0" w:noVBand="1" w:val="04A0"/>
        <w:tblBorders>
          <w:top w:val="single" w:sz="4" w:space="0" w:color="E5E7EB"/>
          <w:bottom w:val="single" w:sz="4" w:space="0" w:color="E5E7EB"/>
          <w:left w:val="none"/>
          <w:right w:val="none"/>
          <w:insideH w:val="single" w:sz="4" w:space="0" w:color="E5E7EB"/>
          <w:insideV w:val="none"/>
        </w:tblBorders>
      </w:tblPr>
      <w:tblGrid>
        <w:gridCol w:w="2304"/>
        <w:gridCol w:w="7632"/>
      </w:tblGrid>
      <w:tr>
        <w:tc>
          <w:tcPr>
            <w:tcW w:type="dxa" w:w="4968"/>
            <w:shd w:fill="F4F6F9"/>
            <w:tcMar>
              <w:top w:w="60" w:type="dxa"/>
              <w:bottom w:w="60" w:type="dxa"/>
              <w:left w:w="80" w:type="dxa"/>
              <w:right w:w="80" w:type="dxa"/>
            </w:tcMar>
          </w:tcPr>
          <w:p>
            <w:pPr>
              <w:spacing w:before="0" w:after="0"/>
            </w:pPr>
            <w:r>
              <w:rPr>
                <w:rFonts w:ascii="Calibri" w:hAnsi="Calibri"/>
                <w:b/>
                <w:color w:val="336699"/>
                <w:sz w:val="17"/>
              </w:rPr>
              <w:t>Visualization Used</w:t>
            </w:r>
          </w:p>
        </w:tc>
        <w:tc>
          <w:tcPr>
            <w:tcW w:type="dxa" w:w="4968"/>
            <w:tcMar>
              <w:top w:w="60" w:type="dxa"/>
              <w:bottom w:w="60" w:type="dxa"/>
              <w:left w:w="80" w:type="dxa"/>
              <w:right w:w="80" w:type="dxa"/>
            </w:tcMar>
          </w:tcPr>
          <w:p>
            <w:pPr>
              <w:spacing w:before="0" w:after="0"/>
            </w:pPr>
            <w:r>
              <w:rPr>
                <w:rFonts w:ascii="Calibri" w:hAnsi="Calibri"/>
                <w:color w:val="222222"/>
                <w:sz w:val="17"/>
              </w:rPr>
              <w:t>Current Loan Aging &amp; Cash Flow Projections Table</w:t>
            </w:r>
          </w:p>
        </w:tc>
      </w:tr>
      <w:tr>
        <w:tc>
          <w:tcPr>
            <w:tcW w:type="dxa" w:w="4968"/>
            <w:shd w:fill="F4F6F9"/>
            <w:tcMar>
              <w:top w:w="60" w:type="dxa"/>
              <w:bottom w:w="60" w:type="dxa"/>
              <w:left w:w="80" w:type="dxa"/>
              <w:right w:w="80" w:type="dxa"/>
            </w:tcMar>
          </w:tcPr>
          <w:p>
            <w:pPr>
              <w:spacing w:before="0" w:after="0"/>
            </w:pPr>
            <w:r>
              <w:rPr>
                <w:rFonts w:ascii="Calibri" w:hAnsi="Calibri"/>
                <w:b/>
                <w:color w:val="336699"/>
                <w:sz w:val="17"/>
              </w:rPr>
              <w:t>Actual Dataset Answer</w:t>
            </w:r>
          </w:p>
        </w:tc>
        <w:tc>
          <w:tcPr>
            <w:tcW w:type="dxa" w:w="4968"/>
            <w:tcMar>
              <w:top w:w="60" w:type="dxa"/>
              <w:bottom w:w="60" w:type="dxa"/>
              <w:left w:w="80" w:type="dxa"/>
              <w:right w:w="80" w:type="dxa"/>
            </w:tcMar>
          </w:tcPr>
          <w:p>
            <w:pPr>
              <w:spacing w:before="0" w:after="0"/>
            </w:pPr>
            <w:r>
              <w:rPr>
                <w:rFonts w:ascii="Calibri" w:hAnsi="Calibri"/>
                <w:color w:val="222222"/>
                <w:sz w:val="17"/>
              </w:rPr>
              <w:t>There are 1,098 active 'Current' loans representing $18,866,500 in funded principal, with $24,198,999 already received in amortized repayments. Their average interest rate is 15.10% and average DTI is 14.72%.</w:t>
            </w:r>
          </w:p>
        </w:tc>
      </w:tr>
      <w:tr>
        <w:tc>
          <w:tcPr>
            <w:tcW w:type="dxa" w:w="4968"/>
            <w:shd w:fill="F4F6F9"/>
            <w:tcMar>
              <w:top w:w="60" w:type="dxa"/>
              <w:bottom w:w="60" w:type="dxa"/>
              <w:left w:w="80" w:type="dxa"/>
              <w:right w:w="80" w:type="dxa"/>
            </w:tcMar>
          </w:tcPr>
          <w:p>
            <w:pPr>
              <w:spacing w:before="0" w:after="0"/>
            </w:pPr>
            <w:r>
              <w:rPr>
                <w:rFonts w:ascii="Calibri" w:hAnsi="Calibri"/>
                <w:b/>
                <w:color w:val="336699"/>
                <w:sz w:val="17"/>
              </w:rPr>
              <w:t>Business Interpretation</w:t>
            </w:r>
          </w:p>
        </w:tc>
        <w:tc>
          <w:tcPr>
            <w:tcW w:type="dxa" w:w="4968"/>
            <w:tcMar>
              <w:top w:w="60" w:type="dxa"/>
              <w:bottom w:w="60" w:type="dxa"/>
              <w:left w:w="80" w:type="dxa"/>
              <w:right w:w="80" w:type="dxa"/>
            </w:tcMar>
          </w:tcPr>
          <w:p>
            <w:pPr>
              <w:spacing w:before="0" w:after="0"/>
            </w:pPr>
            <w:r>
              <w:rPr>
                <w:rFonts w:ascii="Calibri" w:hAnsi="Calibri"/>
                <w:color w:val="222222"/>
                <w:sz w:val="17"/>
              </w:rPr>
              <w:t>While this segment has generated strong initial cash returns, their elevated average interest rate and DTI indicate high sensitivity to interest rate changes and macro downturns.</w:t>
            </w:r>
          </w:p>
        </w:tc>
      </w:tr>
      <w:tr>
        <w:tc>
          <w:tcPr>
            <w:tcW w:type="dxa" w:w="4968"/>
            <w:shd w:fill="F4F6F9"/>
            <w:tcMar>
              <w:top w:w="60" w:type="dxa"/>
              <w:bottom w:w="60" w:type="dxa"/>
              <w:left w:w="80" w:type="dxa"/>
              <w:right w:w="80" w:type="dxa"/>
            </w:tcMar>
          </w:tcPr>
          <w:p>
            <w:pPr>
              <w:spacing w:before="0" w:after="0"/>
            </w:pPr>
            <w:r>
              <w:rPr>
                <w:rFonts w:ascii="Calibri" w:hAnsi="Calibri"/>
                <w:b/>
                <w:color w:val="336699"/>
                <w:sz w:val="17"/>
              </w:rPr>
              <w:t>Analyst Recommendation</w:t>
            </w:r>
          </w:p>
        </w:tc>
        <w:tc>
          <w:tcPr>
            <w:tcW w:type="dxa" w:w="4968"/>
            <w:tcMar>
              <w:top w:w="60" w:type="dxa"/>
              <w:bottom w:w="60" w:type="dxa"/>
              <w:left w:w="80" w:type="dxa"/>
              <w:right w:w="80" w:type="dxa"/>
            </w:tcMar>
          </w:tcPr>
          <w:p>
            <w:pPr>
              <w:spacing w:before="0" w:after="0"/>
            </w:pPr>
            <w:r>
              <w:rPr>
                <w:rFonts w:ascii="Calibri" w:hAnsi="Calibri"/>
                <w:color w:val="222222"/>
                <w:sz w:val="17"/>
              </w:rPr>
              <w:t>Allocate a 4.5% targeted credit loss reserve ($850K) for the Current portfolio to absorb anticipated future charge-offs as these loans mature through their 36- and 60-month terms.</w:t>
            </w:r>
          </w:p>
        </w:tc>
      </w:tr>
    </w:tbl>
    <w:p>
      <w:pPr>
        <w:keepNext/>
        <w:spacing w:before="160" w:after="40"/>
      </w:pPr>
      <w:r>
        <w:rPr>
          <w:rFonts w:ascii="Calibri" w:hAnsi="Calibri"/>
          <w:b/>
          <w:color w:val="1B365D"/>
          <w:sz w:val="22"/>
        </w:rPr>
        <w:t>Question 17: What is the typical individual loan size across the portfolio, and how does loan size affect risk?</w:t>
      </w:r>
    </w:p>
    <w:tbl>
      <w:tblPr>
        <w:tblW w:type="auto" w:w="0"/>
        <w:jc w:val="center"/>
        <w:tblLayout w:type="fixed"/>
        <w:tblLook w:firstColumn="1" w:firstRow="1" w:lastColumn="0" w:lastRow="0" w:noHBand="0" w:noVBand="1" w:val="04A0"/>
        <w:tblBorders>
          <w:top w:val="single" w:sz="4" w:space="0" w:color="E5E7EB"/>
          <w:bottom w:val="single" w:sz="4" w:space="0" w:color="E5E7EB"/>
          <w:left w:val="none"/>
          <w:right w:val="none"/>
          <w:insideH w:val="single" w:sz="4" w:space="0" w:color="E5E7EB"/>
          <w:insideV w:val="none"/>
        </w:tblBorders>
      </w:tblPr>
      <w:tblGrid>
        <w:gridCol w:w="2304"/>
        <w:gridCol w:w="7632"/>
      </w:tblGrid>
      <w:tr>
        <w:tc>
          <w:tcPr>
            <w:tcW w:type="dxa" w:w="4968"/>
            <w:shd w:fill="F4F6F9"/>
            <w:tcMar>
              <w:top w:w="60" w:type="dxa"/>
              <w:bottom w:w="60" w:type="dxa"/>
              <w:left w:w="80" w:type="dxa"/>
              <w:right w:w="80" w:type="dxa"/>
            </w:tcMar>
          </w:tcPr>
          <w:p>
            <w:pPr>
              <w:spacing w:before="0" w:after="0"/>
            </w:pPr>
            <w:r>
              <w:rPr>
                <w:rFonts w:ascii="Calibri" w:hAnsi="Calibri"/>
                <w:b/>
                <w:color w:val="336699"/>
                <w:sz w:val="17"/>
              </w:rPr>
              <w:t>Visualization Used</w:t>
            </w:r>
          </w:p>
        </w:tc>
        <w:tc>
          <w:tcPr>
            <w:tcW w:type="dxa" w:w="4968"/>
            <w:tcMar>
              <w:top w:w="60" w:type="dxa"/>
              <w:bottom w:w="60" w:type="dxa"/>
              <w:left w:w="80" w:type="dxa"/>
              <w:right w:w="80" w:type="dxa"/>
            </w:tcMar>
          </w:tcPr>
          <w:p>
            <w:pPr>
              <w:spacing w:before="0" w:after="0"/>
            </w:pPr>
            <w:r>
              <w:rPr>
                <w:rFonts w:ascii="Calibri" w:hAnsi="Calibri"/>
                <w:color w:val="222222"/>
                <w:sz w:val="17"/>
              </w:rPr>
              <w:t>Loan Amount Distribution Slices vs. Default Rate</w:t>
            </w:r>
          </w:p>
        </w:tc>
      </w:tr>
      <w:tr>
        <w:tc>
          <w:tcPr>
            <w:tcW w:type="dxa" w:w="4968"/>
            <w:shd w:fill="F4F6F9"/>
            <w:tcMar>
              <w:top w:w="60" w:type="dxa"/>
              <w:bottom w:w="60" w:type="dxa"/>
              <w:left w:w="80" w:type="dxa"/>
              <w:right w:w="80" w:type="dxa"/>
            </w:tcMar>
          </w:tcPr>
          <w:p>
            <w:pPr>
              <w:spacing w:before="0" w:after="0"/>
            </w:pPr>
            <w:r>
              <w:rPr>
                <w:rFonts w:ascii="Calibri" w:hAnsi="Calibri"/>
                <w:b/>
                <w:color w:val="336699"/>
                <w:sz w:val="17"/>
              </w:rPr>
              <w:t>Actual Dataset Answer</w:t>
            </w:r>
          </w:p>
        </w:tc>
        <w:tc>
          <w:tcPr>
            <w:tcW w:type="dxa" w:w="4968"/>
            <w:tcMar>
              <w:top w:w="60" w:type="dxa"/>
              <w:bottom w:w="60" w:type="dxa"/>
              <w:left w:w="80" w:type="dxa"/>
              <w:right w:w="80" w:type="dxa"/>
            </w:tcMar>
          </w:tcPr>
          <w:p>
            <w:pPr>
              <w:spacing w:before="0" w:after="0"/>
            </w:pPr>
            <w:r>
              <w:rPr>
                <w:rFonts w:ascii="Calibri" w:hAnsi="Calibri"/>
                <w:color w:val="222222"/>
                <w:sz w:val="17"/>
              </w:rPr>
              <w:t>Average loan amount across the portfolio is ~$11,296. Smaller loans (&lt;$5,000) show lower default frequency (~11.2%), while large ticket loans ($25,000 to $35,000) exhibit charge-off rates exceeding 17.5%.</w:t>
            </w:r>
          </w:p>
        </w:tc>
      </w:tr>
      <w:tr>
        <w:tc>
          <w:tcPr>
            <w:tcW w:type="dxa" w:w="4968"/>
            <w:shd w:fill="F4F6F9"/>
            <w:tcMar>
              <w:top w:w="60" w:type="dxa"/>
              <w:bottom w:w="60" w:type="dxa"/>
              <w:left w:w="80" w:type="dxa"/>
              <w:right w:w="80" w:type="dxa"/>
            </w:tcMar>
          </w:tcPr>
          <w:p>
            <w:pPr>
              <w:spacing w:before="0" w:after="0"/>
            </w:pPr>
            <w:r>
              <w:rPr>
                <w:rFonts w:ascii="Calibri" w:hAnsi="Calibri"/>
                <w:b/>
                <w:color w:val="336699"/>
                <w:sz w:val="17"/>
              </w:rPr>
              <w:t>Business Interpretation</w:t>
            </w:r>
          </w:p>
        </w:tc>
        <w:tc>
          <w:tcPr>
            <w:tcW w:type="dxa" w:w="4968"/>
            <w:tcMar>
              <w:top w:w="60" w:type="dxa"/>
              <w:bottom w:w="60" w:type="dxa"/>
              <w:left w:w="80" w:type="dxa"/>
              <w:right w:w="80" w:type="dxa"/>
            </w:tcMar>
          </w:tcPr>
          <w:p>
            <w:pPr>
              <w:spacing w:before="0" w:after="0"/>
            </w:pPr>
            <w:r>
              <w:rPr>
                <w:rFonts w:ascii="Calibri" w:hAnsi="Calibri"/>
                <w:color w:val="222222"/>
                <w:sz w:val="17"/>
              </w:rPr>
              <w:t>Higher-balance personal unsecured loans impose substantial monthly payment burdens ($600-$900+/mo), severely testing borrower cash flow resilience during income shocks.</w:t>
            </w:r>
          </w:p>
        </w:tc>
      </w:tr>
      <w:tr>
        <w:tc>
          <w:tcPr>
            <w:tcW w:type="dxa" w:w="4968"/>
            <w:shd w:fill="F4F6F9"/>
            <w:tcMar>
              <w:top w:w="60" w:type="dxa"/>
              <w:bottom w:w="60" w:type="dxa"/>
              <w:left w:w="80" w:type="dxa"/>
              <w:right w:w="80" w:type="dxa"/>
            </w:tcMar>
          </w:tcPr>
          <w:p>
            <w:pPr>
              <w:spacing w:before="0" w:after="0"/>
            </w:pPr>
            <w:r>
              <w:rPr>
                <w:rFonts w:ascii="Calibri" w:hAnsi="Calibri"/>
                <w:b/>
                <w:color w:val="336699"/>
                <w:sz w:val="17"/>
              </w:rPr>
              <w:t>Analyst Recommendation</w:t>
            </w:r>
          </w:p>
        </w:tc>
        <w:tc>
          <w:tcPr>
            <w:tcW w:type="dxa" w:w="4968"/>
            <w:tcMar>
              <w:top w:w="60" w:type="dxa"/>
              <w:bottom w:w="60" w:type="dxa"/>
              <w:left w:w="80" w:type="dxa"/>
              <w:right w:w="80" w:type="dxa"/>
            </w:tcMar>
          </w:tcPr>
          <w:p>
            <w:pPr>
              <w:spacing w:before="0" w:after="0"/>
            </w:pPr>
            <w:r>
              <w:rPr>
                <w:rFonts w:ascii="Calibri" w:hAnsi="Calibri"/>
                <w:color w:val="222222"/>
                <w:sz w:val="17"/>
              </w:rPr>
              <w:t>Require secondary co-signers or verifiable liquid collateral for any unsecured personal loan request exceeding $25,000.</w:t>
            </w:r>
          </w:p>
        </w:tc>
      </w:tr>
    </w:tbl>
    <w:p>
      <w:pPr>
        <w:keepNext/>
        <w:spacing w:before="160" w:after="40"/>
      </w:pPr>
      <w:r>
        <w:rPr>
          <w:rFonts w:ascii="Calibri" w:hAnsi="Calibri"/>
          <w:b/>
          <w:color w:val="1B365D"/>
          <w:sz w:val="22"/>
        </w:rPr>
        <w:t>Question 18: How does credit file depth (total_acc) impact borrower default tendencies?</w:t>
      </w:r>
    </w:p>
    <w:tbl>
      <w:tblPr>
        <w:tblW w:type="auto" w:w="0"/>
        <w:jc w:val="center"/>
        <w:tblLayout w:type="fixed"/>
        <w:tblLook w:firstColumn="1" w:firstRow="1" w:lastColumn="0" w:lastRow="0" w:noHBand="0" w:noVBand="1" w:val="04A0"/>
        <w:tblBorders>
          <w:top w:val="single" w:sz="4" w:space="0" w:color="E5E7EB"/>
          <w:bottom w:val="single" w:sz="4" w:space="0" w:color="E5E7EB"/>
          <w:left w:val="none"/>
          <w:right w:val="none"/>
          <w:insideH w:val="single" w:sz="4" w:space="0" w:color="E5E7EB"/>
          <w:insideV w:val="none"/>
        </w:tblBorders>
      </w:tblPr>
      <w:tblGrid>
        <w:gridCol w:w="2304"/>
        <w:gridCol w:w="7632"/>
      </w:tblGrid>
      <w:tr>
        <w:tc>
          <w:tcPr>
            <w:tcW w:type="dxa" w:w="4968"/>
            <w:shd w:fill="F4F6F9"/>
            <w:tcMar>
              <w:top w:w="60" w:type="dxa"/>
              <w:bottom w:w="60" w:type="dxa"/>
              <w:left w:w="80" w:type="dxa"/>
              <w:right w:w="80" w:type="dxa"/>
            </w:tcMar>
          </w:tcPr>
          <w:p>
            <w:pPr>
              <w:spacing w:before="0" w:after="0"/>
            </w:pPr>
            <w:r>
              <w:rPr>
                <w:rFonts w:ascii="Calibri" w:hAnsi="Calibri"/>
                <w:b/>
                <w:color w:val="336699"/>
                <w:sz w:val="17"/>
              </w:rPr>
              <w:t>Visualization Used</w:t>
            </w:r>
          </w:p>
        </w:tc>
        <w:tc>
          <w:tcPr>
            <w:tcW w:type="dxa" w:w="4968"/>
            <w:tcMar>
              <w:top w:w="60" w:type="dxa"/>
              <w:bottom w:w="60" w:type="dxa"/>
              <w:left w:w="80" w:type="dxa"/>
              <w:right w:w="80" w:type="dxa"/>
            </w:tcMar>
          </w:tcPr>
          <w:p>
            <w:pPr>
              <w:spacing w:before="0" w:after="0"/>
            </w:pPr>
            <w:r>
              <w:rPr>
                <w:rFonts w:ascii="Calibri" w:hAnsi="Calibri"/>
                <w:color w:val="222222"/>
                <w:sz w:val="17"/>
              </w:rPr>
              <w:t>Total Credit Accounts vs. Delinquency Scatter Chart</w:t>
            </w:r>
          </w:p>
        </w:tc>
      </w:tr>
      <w:tr>
        <w:tc>
          <w:tcPr>
            <w:tcW w:type="dxa" w:w="4968"/>
            <w:shd w:fill="F4F6F9"/>
            <w:tcMar>
              <w:top w:w="60" w:type="dxa"/>
              <w:bottom w:w="60" w:type="dxa"/>
              <w:left w:w="80" w:type="dxa"/>
              <w:right w:w="80" w:type="dxa"/>
            </w:tcMar>
          </w:tcPr>
          <w:p>
            <w:pPr>
              <w:spacing w:before="0" w:after="0"/>
            </w:pPr>
            <w:r>
              <w:rPr>
                <w:rFonts w:ascii="Calibri" w:hAnsi="Calibri"/>
                <w:b/>
                <w:color w:val="336699"/>
                <w:sz w:val="17"/>
              </w:rPr>
              <w:t>Actual Dataset Answer</w:t>
            </w:r>
          </w:p>
        </w:tc>
        <w:tc>
          <w:tcPr>
            <w:tcW w:type="dxa" w:w="4968"/>
            <w:tcMar>
              <w:top w:w="60" w:type="dxa"/>
              <w:bottom w:w="60" w:type="dxa"/>
              <w:left w:w="80" w:type="dxa"/>
              <w:right w:w="80" w:type="dxa"/>
            </w:tcMar>
          </w:tcPr>
          <w:p>
            <w:pPr>
              <w:spacing w:before="0" w:after="0"/>
            </w:pPr>
            <w:r>
              <w:rPr>
                <w:rFonts w:ascii="Calibri" w:hAnsi="Calibri"/>
                <w:color w:val="222222"/>
                <w:sz w:val="17"/>
              </w:rPr>
              <w:t>Borrowers hold an average of 22 total credit accounts (ranging from 2 to 90+). Borrowers with fewer than 10 credit lines show slightly higher charge-off rates (~15.4%), whereas those with 15-30 established trade lines default at ~12.9%.</w:t>
            </w:r>
          </w:p>
        </w:tc>
      </w:tr>
      <w:tr>
        <w:tc>
          <w:tcPr>
            <w:tcW w:type="dxa" w:w="4968"/>
            <w:shd w:fill="F4F6F9"/>
            <w:tcMar>
              <w:top w:w="60" w:type="dxa"/>
              <w:bottom w:w="60" w:type="dxa"/>
              <w:left w:w="80" w:type="dxa"/>
              <w:right w:w="80" w:type="dxa"/>
            </w:tcMar>
          </w:tcPr>
          <w:p>
            <w:pPr>
              <w:spacing w:before="0" w:after="0"/>
            </w:pPr>
            <w:r>
              <w:rPr>
                <w:rFonts w:ascii="Calibri" w:hAnsi="Calibri"/>
                <w:b/>
                <w:color w:val="336699"/>
                <w:sz w:val="17"/>
              </w:rPr>
              <w:t>Business Interpretation</w:t>
            </w:r>
          </w:p>
        </w:tc>
        <w:tc>
          <w:tcPr>
            <w:tcW w:type="dxa" w:w="4968"/>
            <w:tcMar>
              <w:top w:w="60" w:type="dxa"/>
              <w:bottom w:w="60" w:type="dxa"/>
              <w:left w:w="80" w:type="dxa"/>
              <w:right w:w="80" w:type="dxa"/>
            </w:tcMar>
          </w:tcPr>
          <w:p>
            <w:pPr>
              <w:spacing w:before="0" w:after="0"/>
            </w:pPr>
            <w:r>
              <w:rPr>
                <w:rFonts w:ascii="Calibri" w:hAnsi="Calibri"/>
                <w:color w:val="222222"/>
                <w:sz w:val="17"/>
              </w:rPr>
              <w:t>A mature credit profile with diverse credit relationships indicates an experienced borrower accustomed to managing revolving and installment debts.</w:t>
            </w:r>
          </w:p>
        </w:tc>
      </w:tr>
      <w:tr>
        <w:tc>
          <w:tcPr>
            <w:tcW w:type="dxa" w:w="4968"/>
            <w:shd w:fill="F4F6F9"/>
            <w:tcMar>
              <w:top w:w="60" w:type="dxa"/>
              <w:bottom w:w="60" w:type="dxa"/>
              <w:left w:w="80" w:type="dxa"/>
              <w:right w:w="80" w:type="dxa"/>
            </w:tcMar>
          </w:tcPr>
          <w:p>
            <w:pPr>
              <w:spacing w:before="0" w:after="0"/>
            </w:pPr>
            <w:r>
              <w:rPr>
                <w:rFonts w:ascii="Calibri" w:hAnsi="Calibri"/>
                <w:b/>
                <w:color w:val="336699"/>
                <w:sz w:val="17"/>
              </w:rPr>
              <w:t>Analyst Recommendation</w:t>
            </w:r>
          </w:p>
        </w:tc>
        <w:tc>
          <w:tcPr>
            <w:tcW w:type="dxa" w:w="4968"/>
            <w:tcMar>
              <w:top w:w="60" w:type="dxa"/>
              <w:bottom w:w="60" w:type="dxa"/>
              <w:left w:w="80" w:type="dxa"/>
              <w:right w:w="80" w:type="dxa"/>
            </w:tcMar>
          </w:tcPr>
          <w:p>
            <w:pPr>
              <w:spacing w:before="0" w:after="0"/>
            </w:pPr>
            <w:r>
              <w:rPr>
                <w:rFonts w:ascii="Calibri" w:hAnsi="Calibri"/>
                <w:color w:val="222222"/>
                <w:sz w:val="17"/>
              </w:rPr>
              <w:t>Incorporate minimum credit bureau trade line depth (minimum 3 active trade lines open &gt; 24 months) into baseline automated scorecard approval logic.</w:t>
            </w:r>
          </w:p>
        </w:tc>
      </w:tr>
    </w:tbl>
    <w:p>
      <w:pPr>
        <w:keepNext/>
        <w:spacing w:before="160" w:after="40"/>
      </w:pPr>
      <w:r>
        <w:rPr>
          <w:rFonts w:ascii="Calibri" w:hAnsi="Calibri"/>
          <w:b/>
          <w:color w:val="1B365D"/>
          <w:sz w:val="22"/>
        </w:rPr>
        <w:t>Question 19: How concentrated is origination across application types (Individual vs. Joint)?</w:t>
      </w:r>
    </w:p>
    <w:tbl>
      <w:tblPr>
        <w:tblW w:type="auto" w:w="0"/>
        <w:jc w:val="center"/>
        <w:tblLayout w:type="fixed"/>
        <w:tblLook w:firstColumn="1" w:firstRow="1" w:lastColumn="0" w:lastRow="0" w:noHBand="0" w:noVBand="1" w:val="04A0"/>
        <w:tblBorders>
          <w:top w:val="single" w:sz="4" w:space="0" w:color="E5E7EB"/>
          <w:bottom w:val="single" w:sz="4" w:space="0" w:color="E5E7EB"/>
          <w:left w:val="none"/>
          <w:right w:val="none"/>
          <w:insideH w:val="single" w:sz="4" w:space="0" w:color="E5E7EB"/>
          <w:insideV w:val="none"/>
        </w:tblBorders>
      </w:tblPr>
      <w:tblGrid>
        <w:gridCol w:w="2304"/>
        <w:gridCol w:w="7632"/>
      </w:tblGrid>
      <w:tr>
        <w:tc>
          <w:tcPr>
            <w:tcW w:type="dxa" w:w="4968"/>
            <w:shd w:fill="F4F6F9"/>
            <w:tcMar>
              <w:top w:w="60" w:type="dxa"/>
              <w:bottom w:w="60" w:type="dxa"/>
              <w:left w:w="80" w:type="dxa"/>
              <w:right w:w="80" w:type="dxa"/>
            </w:tcMar>
          </w:tcPr>
          <w:p>
            <w:pPr>
              <w:spacing w:before="0" w:after="0"/>
            </w:pPr>
            <w:r>
              <w:rPr>
                <w:rFonts w:ascii="Calibri" w:hAnsi="Calibri"/>
                <w:b/>
                <w:color w:val="336699"/>
                <w:sz w:val="17"/>
              </w:rPr>
              <w:t>Visualization Used</w:t>
            </w:r>
          </w:p>
        </w:tc>
        <w:tc>
          <w:tcPr>
            <w:tcW w:type="dxa" w:w="4968"/>
            <w:tcMar>
              <w:top w:w="60" w:type="dxa"/>
              <w:bottom w:w="60" w:type="dxa"/>
              <w:left w:w="80" w:type="dxa"/>
              <w:right w:w="80" w:type="dxa"/>
            </w:tcMar>
          </w:tcPr>
          <w:p>
            <w:pPr>
              <w:spacing w:before="0" w:after="0"/>
            </w:pPr>
            <w:r>
              <w:rPr>
                <w:rFonts w:ascii="Calibri" w:hAnsi="Calibri"/>
                <w:color w:val="222222"/>
                <w:sz w:val="17"/>
              </w:rPr>
              <w:t>Application Type Split Donut Chart</w:t>
            </w:r>
          </w:p>
        </w:tc>
      </w:tr>
      <w:tr>
        <w:tc>
          <w:tcPr>
            <w:tcW w:type="dxa" w:w="4968"/>
            <w:shd w:fill="F4F6F9"/>
            <w:tcMar>
              <w:top w:w="60" w:type="dxa"/>
              <w:bottom w:w="60" w:type="dxa"/>
              <w:left w:w="80" w:type="dxa"/>
              <w:right w:w="80" w:type="dxa"/>
            </w:tcMar>
          </w:tcPr>
          <w:p>
            <w:pPr>
              <w:spacing w:before="0" w:after="0"/>
            </w:pPr>
            <w:r>
              <w:rPr>
                <w:rFonts w:ascii="Calibri" w:hAnsi="Calibri"/>
                <w:b/>
                <w:color w:val="336699"/>
                <w:sz w:val="17"/>
              </w:rPr>
              <w:t>Actual Dataset Answer</w:t>
            </w:r>
          </w:p>
        </w:tc>
        <w:tc>
          <w:tcPr>
            <w:tcW w:type="dxa" w:w="4968"/>
            <w:tcMar>
              <w:top w:w="60" w:type="dxa"/>
              <w:bottom w:w="60" w:type="dxa"/>
              <w:left w:w="80" w:type="dxa"/>
              <w:right w:w="80" w:type="dxa"/>
            </w:tcMar>
          </w:tcPr>
          <w:p>
            <w:pPr>
              <w:spacing w:before="0" w:after="0"/>
            </w:pPr>
            <w:r>
              <w:rPr>
                <w:rFonts w:ascii="Calibri" w:hAnsi="Calibri"/>
                <w:color w:val="222222"/>
                <w:sz w:val="17"/>
              </w:rPr>
              <w:t>The portfolio is overwhelmingly composed of Individual applications (&gt;99.5% of total volume), with Joint/Partnership applications representing a negligible fraction.</w:t>
            </w:r>
          </w:p>
        </w:tc>
      </w:tr>
      <w:tr>
        <w:tc>
          <w:tcPr>
            <w:tcW w:type="dxa" w:w="4968"/>
            <w:shd w:fill="F4F6F9"/>
            <w:tcMar>
              <w:top w:w="60" w:type="dxa"/>
              <w:bottom w:w="60" w:type="dxa"/>
              <w:left w:w="80" w:type="dxa"/>
              <w:right w:w="80" w:type="dxa"/>
            </w:tcMar>
          </w:tcPr>
          <w:p>
            <w:pPr>
              <w:spacing w:before="0" w:after="0"/>
            </w:pPr>
            <w:r>
              <w:rPr>
                <w:rFonts w:ascii="Calibri" w:hAnsi="Calibri"/>
                <w:b/>
                <w:color w:val="336699"/>
                <w:sz w:val="17"/>
              </w:rPr>
              <w:t>Business Interpretation</w:t>
            </w:r>
          </w:p>
        </w:tc>
        <w:tc>
          <w:tcPr>
            <w:tcW w:type="dxa" w:w="4968"/>
            <w:tcMar>
              <w:top w:w="60" w:type="dxa"/>
              <w:bottom w:w="60" w:type="dxa"/>
              <w:left w:w="80" w:type="dxa"/>
              <w:right w:w="80" w:type="dxa"/>
            </w:tcMar>
          </w:tcPr>
          <w:p>
            <w:pPr>
              <w:spacing w:before="0" w:after="0"/>
            </w:pPr>
            <w:r>
              <w:rPr>
                <w:rFonts w:ascii="Calibri" w:hAnsi="Calibri"/>
                <w:color w:val="222222"/>
                <w:sz w:val="17"/>
              </w:rPr>
              <w:t>ApexBank relies almost entirely on single-income underwriting. In the event of borrower disability or job loss, no secondary household income exists to service the debt.</w:t>
            </w:r>
          </w:p>
        </w:tc>
      </w:tr>
      <w:tr>
        <w:tc>
          <w:tcPr>
            <w:tcW w:type="dxa" w:w="4968"/>
            <w:shd w:fill="F4F6F9"/>
            <w:tcMar>
              <w:top w:w="60" w:type="dxa"/>
              <w:bottom w:w="60" w:type="dxa"/>
              <w:left w:w="80" w:type="dxa"/>
              <w:right w:w="80" w:type="dxa"/>
            </w:tcMar>
          </w:tcPr>
          <w:p>
            <w:pPr>
              <w:spacing w:before="0" w:after="0"/>
            </w:pPr>
            <w:r>
              <w:rPr>
                <w:rFonts w:ascii="Calibri" w:hAnsi="Calibri"/>
                <w:b/>
                <w:color w:val="336699"/>
                <w:sz w:val="17"/>
              </w:rPr>
              <w:t>Analyst Recommendation</w:t>
            </w:r>
          </w:p>
        </w:tc>
        <w:tc>
          <w:tcPr>
            <w:tcW w:type="dxa" w:w="4968"/>
            <w:tcMar>
              <w:top w:w="60" w:type="dxa"/>
              <w:bottom w:w="60" w:type="dxa"/>
              <w:left w:w="80" w:type="dxa"/>
              <w:right w:w="80" w:type="dxa"/>
            </w:tcMar>
          </w:tcPr>
          <w:p>
            <w:pPr>
              <w:spacing w:before="0" w:after="0"/>
            </w:pPr>
            <w:r>
              <w:rPr>
                <w:rFonts w:ascii="Calibri" w:hAnsi="Calibri"/>
                <w:color w:val="222222"/>
                <w:sz w:val="17"/>
              </w:rPr>
              <w:t>Launch dedicated marketing campaigns for Joint Underwriting loans, offering a 50 bps interest discount to encourage dual-applicant credit commitments.</w:t>
            </w:r>
          </w:p>
        </w:tc>
      </w:tr>
    </w:tbl>
    <w:p>
      <w:pPr>
        <w:keepNext/>
        <w:spacing w:before="160" w:after="40"/>
      </w:pPr>
      <w:r>
        <w:rPr>
          <w:rFonts w:ascii="Calibri" w:hAnsi="Calibri"/>
          <w:b/>
          <w:color w:val="1B365D"/>
          <w:sz w:val="22"/>
        </w:rPr>
        <w:t>Question 20: What is our overall net cash flow generation and institutional return on disbursed capital?</w:t>
      </w:r>
    </w:p>
    <w:tbl>
      <w:tblPr>
        <w:tblW w:type="auto" w:w="0"/>
        <w:jc w:val="center"/>
        <w:tblLayout w:type="fixed"/>
        <w:tblLook w:firstColumn="1" w:firstRow="1" w:lastColumn="0" w:lastRow="0" w:noHBand="0" w:noVBand="1" w:val="04A0"/>
        <w:tblBorders>
          <w:top w:val="single" w:sz="4" w:space="0" w:color="E5E7EB"/>
          <w:bottom w:val="single" w:sz="4" w:space="0" w:color="E5E7EB"/>
          <w:left w:val="none"/>
          <w:right w:val="none"/>
          <w:insideH w:val="single" w:sz="4" w:space="0" w:color="E5E7EB"/>
          <w:insideV w:val="none"/>
        </w:tblBorders>
      </w:tblPr>
      <w:tblGrid>
        <w:gridCol w:w="2304"/>
        <w:gridCol w:w="7632"/>
      </w:tblGrid>
      <w:tr>
        <w:tc>
          <w:tcPr>
            <w:tcW w:type="dxa" w:w="4968"/>
            <w:shd w:fill="F4F6F9"/>
            <w:tcMar>
              <w:top w:w="60" w:type="dxa"/>
              <w:bottom w:w="60" w:type="dxa"/>
              <w:left w:w="80" w:type="dxa"/>
              <w:right w:w="80" w:type="dxa"/>
            </w:tcMar>
          </w:tcPr>
          <w:p>
            <w:pPr>
              <w:spacing w:before="0" w:after="0"/>
            </w:pPr>
            <w:r>
              <w:rPr>
                <w:rFonts w:ascii="Calibri" w:hAnsi="Calibri"/>
                <w:b/>
                <w:color w:val="336699"/>
                <w:sz w:val="17"/>
              </w:rPr>
              <w:t>Visualization Used</w:t>
            </w:r>
          </w:p>
        </w:tc>
        <w:tc>
          <w:tcPr>
            <w:tcW w:type="dxa" w:w="4968"/>
            <w:tcMar>
              <w:top w:w="60" w:type="dxa"/>
              <w:bottom w:w="60" w:type="dxa"/>
              <w:left w:w="80" w:type="dxa"/>
              <w:right w:w="80" w:type="dxa"/>
            </w:tcMar>
          </w:tcPr>
          <w:p>
            <w:pPr>
              <w:spacing w:before="0" w:after="0"/>
            </w:pPr>
            <w:r>
              <w:rPr>
                <w:rFonts w:ascii="Calibri" w:hAnsi="Calibri"/>
                <w:color w:val="222222"/>
                <w:sz w:val="17"/>
              </w:rPr>
              <w:t>Portfolio Waterfall Chart: Disbursed Capital to Net Cash Inflow</w:t>
            </w:r>
          </w:p>
        </w:tc>
      </w:tr>
      <w:tr>
        <w:tc>
          <w:tcPr>
            <w:tcW w:type="dxa" w:w="4968"/>
            <w:shd w:fill="F4F6F9"/>
            <w:tcMar>
              <w:top w:w="60" w:type="dxa"/>
              <w:bottom w:w="60" w:type="dxa"/>
              <w:left w:w="80" w:type="dxa"/>
              <w:right w:w="80" w:type="dxa"/>
            </w:tcMar>
          </w:tcPr>
          <w:p>
            <w:pPr>
              <w:spacing w:before="0" w:after="0"/>
            </w:pPr>
            <w:r>
              <w:rPr>
                <w:rFonts w:ascii="Calibri" w:hAnsi="Calibri"/>
                <w:b/>
                <w:color w:val="336699"/>
                <w:sz w:val="17"/>
              </w:rPr>
              <w:t>Actual Dataset Answer</w:t>
            </w:r>
          </w:p>
        </w:tc>
        <w:tc>
          <w:tcPr>
            <w:tcW w:type="dxa" w:w="4968"/>
            <w:tcMar>
              <w:top w:w="60" w:type="dxa"/>
              <w:bottom w:w="60" w:type="dxa"/>
              <w:left w:w="80" w:type="dxa"/>
              <w:right w:w="80" w:type="dxa"/>
            </w:tcMar>
          </w:tcPr>
          <w:p>
            <w:pPr>
              <w:spacing w:before="0" w:after="0"/>
            </w:pPr>
            <w:r>
              <w:rPr>
                <w:rFonts w:ascii="Calibri" w:hAnsi="Calibri"/>
                <w:color w:val="222222"/>
                <w:sz w:val="17"/>
              </w:rPr>
              <w:t>Across all 38,576 loans, ApexBank disbursed $435,757,075 and generated $473,070,019 in total gross cash collections, realizing a cumulative net cash surplus of +$37,312,944 (1.085x total cash return on invested capital).</w:t>
            </w:r>
          </w:p>
        </w:tc>
      </w:tr>
      <w:tr>
        <w:tc>
          <w:tcPr>
            <w:tcW w:type="dxa" w:w="4968"/>
            <w:shd w:fill="F4F6F9"/>
            <w:tcMar>
              <w:top w:w="60" w:type="dxa"/>
              <w:bottom w:w="60" w:type="dxa"/>
              <w:left w:w="80" w:type="dxa"/>
              <w:right w:w="80" w:type="dxa"/>
            </w:tcMar>
          </w:tcPr>
          <w:p>
            <w:pPr>
              <w:spacing w:before="0" w:after="0"/>
            </w:pPr>
            <w:r>
              <w:rPr>
                <w:rFonts w:ascii="Calibri" w:hAnsi="Calibri"/>
                <w:b/>
                <w:color w:val="336699"/>
                <w:sz w:val="17"/>
              </w:rPr>
              <w:t>Business Interpretation</w:t>
            </w:r>
          </w:p>
        </w:tc>
        <w:tc>
          <w:tcPr>
            <w:tcW w:type="dxa" w:w="4968"/>
            <w:tcMar>
              <w:top w:w="60" w:type="dxa"/>
              <w:bottom w:w="60" w:type="dxa"/>
              <w:left w:w="80" w:type="dxa"/>
              <w:right w:w="80" w:type="dxa"/>
            </w:tcMar>
          </w:tcPr>
          <w:p>
            <w:pPr>
              <w:spacing w:before="0" w:after="0"/>
            </w:pPr>
            <w:r>
              <w:rPr>
                <w:rFonts w:ascii="Calibri" w:hAnsi="Calibri"/>
                <w:color w:val="222222"/>
                <w:sz w:val="17"/>
              </w:rPr>
              <w:t>The lending program is net cash-flow positive and commercially viable. However, the $28.25M bad loan deficit significantly compresses what would otherwise have been a +$65.6M operating profit.</w:t>
            </w:r>
          </w:p>
        </w:tc>
      </w:tr>
      <w:tr>
        <w:tc>
          <w:tcPr>
            <w:tcW w:type="dxa" w:w="4968"/>
            <w:shd w:fill="F4F6F9"/>
            <w:tcMar>
              <w:top w:w="60" w:type="dxa"/>
              <w:bottom w:w="60" w:type="dxa"/>
              <w:left w:w="80" w:type="dxa"/>
              <w:right w:w="80" w:type="dxa"/>
            </w:tcMar>
          </w:tcPr>
          <w:p>
            <w:pPr>
              <w:spacing w:before="0" w:after="0"/>
            </w:pPr>
            <w:r>
              <w:rPr>
                <w:rFonts w:ascii="Calibri" w:hAnsi="Calibri"/>
                <w:b/>
                <w:color w:val="336699"/>
                <w:sz w:val="17"/>
              </w:rPr>
              <w:t>Analyst Recommendation</w:t>
            </w:r>
          </w:p>
        </w:tc>
        <w:tc>
          <w:tcPr>
            <w:tcW w:type="dxa" w:w="4968"/>
            <w:tcMar>
              <w:top w:w="60" w:type="dxa"/>
              <w:bottom w:w="60" w:type="dxa"/>
              <w:left w:w="80" w:type="dxa"/>
              <w:right w:w="80" w:type="dxa"/>
            </w:tcMar>
          </w:tcPr>
          <w:p>
            <w:pPr>
              <w:spacing w:before="0" w:after="0"/>
            </w:pPr>
            <w:r>
              <w:rPr>
                <w:rFonts w:ascii="Calibri" w:hAnsi="Calibri"/>
                <w:color w:val="222222"/>
                <w:sz w:val="17"/>
              </w:rPr>
              <w:t>Reinvest 15% of net cash surpluses into AI-driven fraud detection, automated bank statement verification (Plaid/Open Banking), and early-stage collections tooling.</w:t>
            </w:r>
          </w:p>
        </w:tc>
      </w:tr>
    </w:tbl>
    <w:p>
      <w:r>
        <w:br w:type="page"/>
      </w:r>
    </w:p>
    <w:p>
      <w:pPr>
        <w:pStyle w:val="Heading1"/>
        <w:keepNext/>
        <w:spacing w:before="280" w:after="80"/>
      </w:pPr>
      <w:r>
        <w:rPr>
          <w:rFonts w:ascii="Calibri" w:hAnsi="Calibri"/>
          <w:b/>
          <w:color w:val="1B365D"/>
          <w:sz w:val="32"/>
        </w:rPr>
        <w:t>Section 4: Next-Level &amp; Advanced Strategic Questions (15 Future Inquiries)</w:t>
      </w:r>
    </w:p>
    <w:p>
      <w:r>
        <w:t>To support executive leadership in transitioning from descriptive reporting to predictive credit risk modeling, the following 15 advanced questions explore multi-dimensional risk segmentation, recovery optimization, macroeconomic stress testing, and portfolio forecasting.</w:t>
      </w:r>
    </w:p>
    <w:tbl>
      <w:tblPr>
        <w:tblW w:type="auto" w:w="0"/>
        <w:jc w:val="center"/>
        <w:tblLayout w:type="fixed"/>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168"/>
        <w:gridCol w:w="4608"/>
        <w:gridCol w:w="2160"/>
      </w:tblGrid>
      <w:tr>
        <w:tc>
          <w:tcPr>
            <w:tcW w:type="dxa" w:w="3312"/>
            <w:shd w:fill="1B365D"/>
            <w:tcMar>
              <w:top w:w="80" w:type="dxa"/>
              <w:bottom w:w="80" w:type="dxa"/>
              <w:left w:w="80" w:type="dxa"/>
              <w:right w:w="80" w:type="dxa"/>
            </w:tcMar>
          </w:tcPr>
          <w:p>
            <w:r>
              <w:rPr>
                <w:rFonts w:ascii="Calibri" w:hAnsi="Calibri"/>
                <w:b/>
                <w:color w:val="FFFFFF"/>
                <w:sz w:val="17"/>
              </w:rPr>
              <w:t>Strategic / Advanced Inquiry</w:t>
            </w:r>
          </w:p>
        </w:tc>
        <w:tc>
          <w:tcPr>
            <w:tcW w:type="dxa" w:w="3312"/>
            <w:shd w:fill="1B365D"/>
            <w:tcMar>
              <w:top w:w="80" w:type="dxa"/>
              <w:bottom w:w="80" w:type="dxa"/>
              <w:left w:w="80" w:type="dxa"/>
              <w:right w:w="80" w:type="dxa"/>
            </w:tcMar>
          </w:tcPr>
          <w:p>
            <w:r>
              <w:rPr>
                <w:rFonts w:ascii="Calibri" w:hAnsi="Calibri"/>
                <w:b/>
                <w:color w:val="FFFFFF"/>
                <w:sz w:val="17"/>
              </w:rPr>
              <w:t>Analytical Objective &amp; Hypotheses</w:t>
            </w:r>
          </w:p>
        </w:tc>
        <w:tc>
          <w:tcPr>
            <w:tcW w:type="dxa" w:w="3312"/>
            <w:shd w:fill="1B365D"/>
            <w:tcMar>
              <w:top w:w="80" w:type="dxa"/>
              <w:bottom w:w="80" w:type="dxa"/>
              <w:left w:w="80" w:type="dxa"/>
              <w:right w:w="80" w:type="dxa"/>
            </w:tcMar>
          </w:tcPr>
          <w:p>
            <w:r>
              <w:rPr>
                <w:rFonts w:ascii="Calibri" w:hAnsi="Calibri"/>
                <w:b/>
                <w:color w:val="FFFFFF"/>
                <w:sz w:val="17"/>
              </w:rPr>
              <w:t>Proposed Visual Asset</w:t>
            </w:r>
          </w:p>
        </w:tc>
      </w:tr>
      <w:tr>
        <w:tc>
          <w:tcPr>
            <w:tcW w:type="dxa" w:w="3312"/>
            <w:shd w:fill="FFFFFF"/>
            <w:tcMar>
              <w:top w:w="60" w:type="dxa"/>
              <w:bottom w:w="60" w:type="dxa"/>
              <w:left w:w="70" w:type="dxa"/>
              <w:right w:w="70" w:type="dxa"/>
            </w:tcMar>
          </w:tcPr>
          <w:p>
            <w:r>
              <w:rPr>
                <w:rFonts w:ascii="Calibri" w:hAnsi="Calibri"/>
                <w:b/>
                <w:color w:val="1B365D"/>
                <w:sz w:val="16"/>
              </w:rPr>
              <w:t>Default Rate Migration Across Sub-Grades (A1 to G5)</w:t>
            </w:r>
          </w:p>
        </w:tc>
        <w:tc>
          <w:tcPr>
            <w:tcW w:type="dxa" w:w="3312"/>
            <w:shd w:fill="FFFFFF"/>
            <w:tcMar>
              <w:top w:w="60" w:type="dxa"/>
              <w:bottom w:w="60" w:type="dxa"/>
              <w:left w:w="70" w:type="dxa"/>
              <w:right w:w="70" w:type="dxa"/>
            </w:tcMar>
          </w:tcPr>
          <w:p>
            <w:r>
              <w:rPr>
                <w:rFonts w:ascii="Calibri" w:hAnsi="Calibri"/>
                <w:sz w:val="16"/>
              </w:rPr>
              <w:t>How granularly does default risk accelerate between sub-grades (e.g., B1 vs B5), and at what exact sub-grade threshold does risk turn negative against origination costs?</w:t>
            </w:r>
          </w:p>
        </w:tc>
        <w:tc>
          <w:tcPr>
            <w:tcW w:type="dxa" w:w="3312"/>
            <w:shd w:fill="FFFFFF"/>
            <w:tcMar>
              <w:top w:w="60" w:type="dxa"/>
              <w:bottom w:w="60" w:type="dxa"/>
              <w:left w:w="70" w:type="dxa"/>
              <w:right w:w="70" w:type="dxa"/>
            </w:tcMar>
          </w:tcPr>
          <w:p>
            <w:r>
              <w:rPr>
                <w:rFonts w:ascii="Calibri" w:hAnsi="Calibri"/>
                <w:sz w:val="16"/>
              </w:rPr>
              <w:t>Sub-Grade Risk Matrix &amp; Cumulative Loss Curve</w:t>
            </w:r>
          </w:p>
        </w:tc>
      </w:tr>
      <w:tr>
        <w:tc>
          <w:tcPr>
            <w:tcW w:type="dxa" w:w="3312"/>
            <w:shd w:fill="F4F6F9"/>
            <w:tcMar>
              <w:top w:w="60" w:type="dxa"/>
              <w:bottom w:w="60" w:type="dxa"/>
              <w:left w:w="70" w:type="dxa"/>
              <w:right w:w="70" w:type="dxa"/>
            </w:tcMar>
          </w:tcPr>
          <w:p>
            <w:r>
              <w:rPr>
                <w:rFonts w:ascii="Calibri" w:hAnsi="Calibri"/>
                <w:b/>
                <w:color w:val="1B365D"/>
                <w:sz w:val="16"/>
              </w:rPr>
              <w:t>Impact of Verification Status on High-DTI Segments</w:t>
            </w:r>
          </w:p>
        </w:tc>
        <w:tc>
          <w:tcPr>
            <w:tcW w:type="dxa" w:w="3312"/>
            <w:shd w:fill="F4F6F9"/>
            <w:tcMar>
              <w:top w:w="60" w:type="dxa"/>
              <w:bottom w:w="60" w:type="dxa"/>
              <w:left w:w="70" w:type="dxa"/>
              <w:right w:w="70" w:type="dxa"/>
            </w:tcMar>
          </w:tcPr>
          <w:p>
            <w:r>
              <w:rPr>
                <w:rFonts w:ascii="Calibri" w:hAnsi="Calibri"/>
                <w:sz w:val="16"/>
              </w:rPr>
              <w:t>Do Verified borrowers with DTI &gt; 18% outperform Unverified borrowers with DTI &lt; 12%, isolating the predictive power of income documentation?</w:t>
            </w:r>
          </w:p>
        </w:tc>
        <w:tc>
          <w:tcPr>
            <w:tcW w:type="dxa" w:w="3312"/>
            <w:shd w:fill="F4F6F9"/>
            <w:tcMar>
              <w:top w:w="60" w:type="dxa"/>
              <w:bottom w:w="60" w:type="dxa"/>
              <w:left w:w="70" w:type="dxa"/>
              <w:right w:w="70" w:type="dxa"/>
            </w:tcMar>
          </w:tcPr>
          <w:p>
            <w:r>
              <w:rPr>
                <w:rFonts w:ascii="Calibri" w:hAnsi="Calibri"/>
                <w:sz w:val="16"/>
              </w:rPr>
              <w:t>Verification vs DTI Scatter Plot with Risk Quadrants</w:t>
            </w:r>
          </w:p>
        </w:tc>
      </w:tr>
      <w:tr>
        <w:tc>
          <w:tcPr>
            <w:tcW w:type="dxa" w:w="3312"/>
            <w:shd w:fill="FFFFFF"/>
            <w:tcMar>
              <w:top w:w="60" w:type="dxa"/>
              <w:bottom w:w="60" w:type="dxa"/>
              <w:left w:w="70" w:type="dxa"/>
              <w:right w:w="70" w:type="dxa"/>
            </w:tcMar>
          </w:tcPr>
          <w:p>
            <w:r>
              <w:rPr>
                <w:rFonts w:ascii="Calibri" w:hAnsi="Calibri"/>
                <w:b/>
                <w:color w:val="1B365D"/>
                <w:sz w:val="16"/>
              </w:rPr>
              <w:t>Employment Longevity vs. High-Balance Default Severity</w:t>
            </w:r>
          </w:p>
        </w:tc>
        <w:tc>
          <w:tcPr>
            <w:tcW w:type="dxa" w:w="3312"/>
            <w:shd w:fill="FFFFFF"/>
            <w:tcMar>
              <w:top w:w="60" w:type="dxa"/>
              <w:bottom w:w="60" w:type="dxa"/>
              <w:left w:w="70" w:type="dxa"/>
              <w:right w:w="70" w:type="dxa"/>
            </w:tcMar>
          </w:tcPr>
          <w:p>
            <w:r>
              <w:rPr>
                <w:rFonts w:ascii="Calibri" w:hAnsi="Calibri"/>
                <w:sz w:val="16"/>
              </w:rPr>
              <w:t>Are 10+ year tenured employees taking $30K+ loans more resilient during economic slowdowns than short-tenure (&lt;2 yr) employees borrowing smaller amounts?</w:t>
            </w:r>
          </w:p>
        </w:tc>
        <w:tc>
          <w:tcPr>
            <w:tcW w:type="dxa" w:w="3312"/>
            <w:shd w:fill="FFFFFF"/>
            <w:tcMar>
              <w:top w:w="60" w:type="dxa"/>
              <w:bottom w:w="60" w:type="dxa"/>
              <w:left w:w="70" w:type="dxa"/>
              <w:right w:w="70" w:type="dxa"/>
            </w:tcMar>
          </w:tcPr>
          <w:p>
            <w:r>
              <w:rPr>
                <w:rFonts w:ascii="Calibri" w:hAnsi="Calibri"/>
                <w:sz w:val="16"/>
              </w:rPr>
              <w:t>Tenure vs Ticket-Size Default Cross-Tabulation</w:t>
            </w:r>
          </w:p>
        </w:tc>
      </w:tr>
      <w:tr>
        <w:tc>
          <w:tcPr>
            <w:tcW w:type="dxa" w:w="3312"/>
            <w:shd w:fill="F4F6F9"/>
            <w:tcMar>
              <w:top w:w="60" w:type="dxa"/>
              <w:bottom w:w="60" w:type="dxa"/>
              <w:left w:w="70" w:type="dxa"/>
              <w:right w:w="70" w:type="dxa"/>
            </w:tcMar>
          </w:tcPr>
          <w:p>
            <w:r>
              <w:rPr>
                <w:rFonts w:ascii="Calibri" w:hAnsi="Calibri"/>
                <w:b/>
                <w:color w:val="1B365D"/>
                <w:sz w:val="16"/>
              </w:rPr>
              <w:t>Charge-Off Recovery Velocity by Post-Default Vintage</w:t>
            </w:r>
          </w:p>
        </w:tc>
        <w:tc>
          <w:tcPr>
            <w:tcW w:type="dxa" w:w="3312"/>
            <w:shd w:fill="F4F6F9"/>
            <w:tcMar>
              <w:top w:w="60" w:type="dxa"/>
              <w:bottom w:w="60" w:type="dxa"/>
              <w:left w:w="70" w:type="dxa"/>
              <w:right w:w="70" w:type="dxa"/>
            </w:tcMar>
          </w:tcPr>
          <w:p>
            <w:r>
              <w:rPr>
                <w:rFonts w:ascii="Calibri" w:hAnsi="Calibri"/>
                <w:sz w:val="16"/>
              </w:rPr>
              <w:t>What percentage of charged-off capital is recovered within 90 days, 180 days, and 365 days, and what is the internal rate of return (IRR) on recovery operations?</w:t>
            </w:r>
          </w:p>
        </w:tc>
        <w:tc>
          <w:tcPr>
            <w:tcW w:type="dxa" w:w="3312"/>
            <w:shd w:fill="F4F6F9"/>
            <w:tcMar>
              <w:top w:w="60" w:type="dxa"/>
              <w:bottom w:w="60" w:type="dxa"/>
              <w:left w:w="70" w:type="dxa"/>
              <w:right w:w="70" w:type="dxa"/>
            </w:tcMar>
          </w:tcPr>
          <w:p>
            <w:r>
              <w:rPr>
                <w:rFonts w:ascii="Calibri" w:hAnsi="Calibri"/>
                <w:sz w:val="16"/>
              </w:rPr>
              <w:t>Vintage Recovery Decay Curve</w:t>
            </w:r>
          </w:p>
        </w:tc>
      </w:tr>
      <w:tr>
        <w:tc>
          <w:tcPr>
            <w:tcW w:type="dxa" w:w="3312"/>
            <w:shd w:fill="FFFFFF"/>
            <w:tcMar>
              <w:top w:w="60" w:type="dxa"/>
              <w:bottom w:w="60" w:type="dxa"/>
              <w:left w:w="70" w:type="dxa"/>
              <w:right w:w="70" w:type="dxa"/>
            </w:tcMar>
          </w:tcPr>
          <w:p>
            <w:r>
              <w:rPr>
                <w:rFonts w:ascii="Calibri" w:hAnsi="Calibri"/>
                <w:b/>
                <w:color w:val="1B365D"/>
                <w:sz w:val="16"/>
              </w:rPr>
              <w:t>Multi-Variable Risk Segmentation Matrix</w:t>
            </w:r>
          </w:p>
        </w:tc>
        <w:tc>
          <w:tcPr>
            <w:tcW w:type="dxa" w:w="3312"/>
            <w:shd w:fill="FFFFFF"/>
            <w:tcMar>
              <w:top w:w="60" w:type="dxa"/>
              <w:bottom w:w="60" w:type="dxa"/>
              <w:left w:w="70" w:type="dxa"/>
              <w:right w:w="70" w:type="dxa"/>
            </w:tcMar>
          </w:tcPr>
          <w:p>
            <w:r>
              <w:rPr>
                <w:rFonts w:ascii="Calibri" w:hAnsi="Calibri"/>
                <w:sz w:val="16"/>
              </w:rPr>
              <w:t>Which combinations of Grade (D-G), Term (60 mo), and Home Ownership (Rent) represent the highest cumulative default risk?</w:t>
            </w:r>
          </w:p>
        </w:tc>
        <w:tc>
          <w:tcPr>
            <w:tcW w:type="dxa" w:w="3312"/>
            <w:shd w:fill="FFFFFF"/>
            <w:tcMar>
              <w:top w:w="60" w:type="dxa"/>
              <w:bottom w:w="60" w:type="dxa"/>
              <w:left w:w="70" w:type="dxa"/>
              <w:right w:w="70" w:type="dxa"/>
            </w:tcMar>
          </w:tcPr>
          <w:p>
            <w:r>
              <w:rPr>
                <w:rFonts w:ascii="Calibri" w:hAnsi="Calibri"/>
                <w:sz w:val="16"/>
              </w:rPr>
              <w:t>3-Way Cross-Segment Risk Heat Map</w:t>
            </w:r>
          </w:p>
        </w:tc>
      </w:tr>
      <w:tr>
        <w:tc>
          <w:tcPr>
            <w:tcW w:type="dxa" w:w="3312"/>
            <w:shd w:fill="F4F6F9"/>
            <w:tcMar>
              <w:top w:w="60" w:type="dxa"/>
              <w:bottom w:w="60" w:type="dxa"/>
              <w:left w:w="70" w:type="dxa"/>
              <w:right w:w="70" w:type="dxa"/>
            </w:tcMar>
          </w:tcPr>
          <w:p>
            <w:r>
              <w:rPr>
                <w:rFonts w:ascii="Calibri" w:hAnsi="Calibri"/>
                <w:b/>
                <w:color w:val="1B365D"/>
                <w:sz w:val="16"/>
              </w:rPr>
              <w:t>Seasonality and Holiday Spending Default Propensity</w:t>
            </w:r>
          </w:p>
        </w:tc>
        <w:tc>
          <w:tcPr>
            <w:tcW w:type="dxa" w:w="3312"/>
            <w:shd w:fill="F4F6F9"/>
            <w:tcMar>
              <w:top w:w="60" w:type="dxa"/>
              <w:bottom w:w="60" w:type="dxa"/>
              <w:left w:w="70" w:type="dxa"/>
              <w:right w:w="70" w:type="dxa"/>
            </w:tcMar>
          </w:tcPr>
          <w:p>
            <w:r>
              <w:rPr>
                <w:rFonts w:ascii="Calibri" w:hAnsi="Calibri"/>
                <w:sz w:val="16"/>
              </w:rPr>
              <w:t>Does the substantial Q4 surge in originations (+13% MoM in Dec) result in disproportionate first-quarter delinquency compared to mid-year originations?</w:t>
            </w:r>
          </w:p>
        </w:tc>
        <w:tc>
          <w:tcPr>
            <w:tcW w:type="dxa" w:w="3312"/>
            <w:shd w:fill="F4F6F9"/>
            <w:tcMar>
              <w:top w:w="60" w:type="dxa"/>
              <w:bottom w:w="60" w:type="dxa"/>
              <w:left w:w="70" w:type="dxa"/>
              <w:right w:w="70" w:type="dxa"/>
            </w:tcMar>
          </w:tcPr>
          <w:p>
            <w:r>
              <w:rPr>
                <w:rFonts w:ascii="Calibri" w:hAnsi="Calibri"/>
                <w:sz w:val="16"/>
              </w:rPr>
              <w:t>Cohort Default Vintage Analysis by Origination Month</w:t>
            </w:r>
          </w:p>
        </w:tc>
      </w:tr>
      <w:tr>
        <w:tc>
          <w:tcPr>
            <w:tcW w:type="dxa" w:w="3312"/>
            <w:shd w:fill="FFFFFF"/>
            <w:tcMar>
              <w:top w:w="60" w:type="dxa"/>
              <w:bottom w:w="60" w:type="dxa"/>
              <w:left w:w="70" w:type="dxa"/>
              <w:right w:w="70" w:type="dxa"/>
            </w:tcMar>
          </w:tcPr>
          <w:p>
            <w:r>
              <w:rPr>
                <w:rFonts w:ascii="Calibri" w:hAnsi="Calibri"/>
                <w:b/>
                <w:color w:val="1B365D"/>
                <w:sz w:val="16"/>
              </w:rPr>
              <w:t>Prepayment &amp; Early Payoff Velocity</w:t>
            </w:r>
          </w:p>
        </w:tc>
        <w:tc>
          <w:tcPr>
            <w:tcW w:type="dxa" w:w="3312"/>
            <w:shd w:fill="FFFFFF"/>
            <w:tcMar>
              <w:top w:w="60" w:type="dxa"/>
              <w:bottom w:w="60" w:type="dxa"/>
              <w:left w:w="70" w:type="dxa"/>
              <w:right w:w="70" w:type="dxa"/>
            </w:tcMar>
          </w:tcPr>
          <w:p>
            <w:r>
              <w:rPr>
                <w:rFonts w:ascii="Calibri" w:hAnsi="Calibri"/>
                <w:sz w:val="16"/>
              </w:rPr>
              <w:t>What proportion of Fully Paid loans terminate prior to their stated 36- or 60-month contractual term, and how does early prepayment curtail total interest revenue?</w:t>
            </w:r>
          </w:p>
        </w:tc>
        <w:tc>
          <w:tcPr>
            <w:tcW w:type="dxa" w:w="3312"/>
            <w:shd w:fill="FFFFFF"/>
            <w:tcMar>
              <w:top w:w="60" w:type="dxa"/>
              <w:bottom w:w="60" w:type="dxa"/>
              <w:left w:w="70" w:type="dxa"/>
              <w:right w:w="70" w:type="dxa"/>
            </w:tcMar>
          </w:tcPr>
          <w:p>
            <w:r>
              <w:rPr>
                <w:rFonts w:ascii="Calibri" w:hAnsi="Calibri"/>
                <w:sz w:val="16"/>
              </w:rPr>
              <w:t>Survival Analysis &amp; Prepayment Speed (CPR) Dashboard</w:t>
            </w:r>
          </w:p>
        </w:tc>
      </w:tr>
      <w:tr>
        <w:tc>
          <w:tcPr>
            <w:tcW w:type="dxa" w:w="3312"/>
            <w:shd w:fill="F4F6F9"/>
            <w:tcMar>
              <w:top w:w="60" w:type="dxa"/>
              <w:bottom w:w="60" w:type="dxa"/>
              <w:left w:w="70" w:type="dxa"/>
              <w:right w:w="70" w:type="dxa"/>
            </w:tcMar>
          </w:tcPr>
          <w:p>
            <w:r>
              <w:rPr>
                <w:rFonts w:ascii="Calibri" w:hAnsi="Calibri"/>
                <w:b/>
                <w:color w:val="1B365D"/>
                <w:sz w:val="16"/>
              </w:rPr>
              <w:t>Debt Consolidation Efficacy &amp; Re-Leveraging Risk</w:t>
            </w:r>
          </w:p>
        </w:tc>
        <w:tc>
          <w:tcPr>
            <w:tcW w:type="dxa" w:w="3312"/>
            <w:shd w:fill="F4F6F9"/>
            <w:tcMar>
              <w:top w:w="60" w:type="dxa"/>
              <w:bottom w:w="60" w:type="dxa"/>
              <w:left w:w="70" w:type="dxa"/>
              <w:right w:w="70" w:type="dxa"/>
            </w:tcMar>
          </w:tcPr>
          <w:p>
            <w:r>
              <w:rPr>
                <w:rFonts w:ascii="Calibri" w:hAnsi="Calibri"/>
                <w:sz w:val="16"/>
              </w:rPr>
              <w:t>Do debt consolidation borrowers demonstrate lower long-term default rates than credit card refinancing borrowers, or do they re-accumulate revolving debt?</w:t>
            </w:r>
          </w:p>
        </w:tc>
        <w:tc>
          <w:tcPr>
            <w:tcW w:type="dxa" w:w="3312"/>
            <w:shd w:fill="F4F6F9"/>
            <w:tcMar>
              <w:top w:w="60" w:type="dxa"/>
              <w:bottom w:w="60" w:type="dxa"/>
              <w:left w:w="70" w:type="dxa"/>
              <w:right w:w="70" w:type="dxa"/>
            </w:tcMar>
          </w:tcPr>
          <w:p>
            <w:r>
              <w:rPr>
                <w:rFonts w:ascii="Calibri" w:hAnsi="Calibri"/>
                <w:sz w:val="16"/>
              </w:rPr>
              <w:t>Purpose-Specific Re-Default Tracking Matrix</w:t>
            </w:r>
          </w:p>
        </w:tc>
      </w:tr>
      <w:tr>
        <w:tc>
          <w:tcPr>
            <w:tcW w:type="dxa" w:w="3312"/>
            <w:shd w:fill="FFFFFF"/>
            <w:tcMar>
              <w:top w:w="60" w:type="dxa"/>
              <w:bottom w:w="60" w:type="dxa"/>
              <w:left w:w="70" w:type="dxa"/>
              <w:right w:w="70" w:type="dxa"/>
            </w:tcMar>
          </w:tcPr>
          <w:p>
            <w:r>
              <w:rPr>
                <w:rFonts w:ascii="Calibri" w:hAnsi="Calibri"/>
                <w:b/>
                <w:color w:val="1B365D"/>
                <w:sz w:val="16"/>
              </w:rPr>
              <w:t>State-Level Regulatory &amp; Economic Exposure Sensitivity</w:t>
            </w:r>
          </w:p>
        </w:tc>
        <w:tc>
          <w:tcPr>
            <w:tcW w:type="dxa" w:w="3312"/>
            <w:shd w:fill="FFFFFF"/>
            <w:tcMar>
              <w:top w:w="60" w:type="dxa"/>
              <w:bottom w:w="60" w:type="dxa"/>
              <w:left w:w="70" w:type="dxa"/>
              <w:right w:w="70" w:type="dxa"/>
            </w:tcMar>
          </w:tcPr>
          <w:p>
            <w:r>
              <w:rPr>
                <w:rFonts w:ascii="Calibri" w:hAnsi="Calibri"/>
                <w:sz w:val="16"/>
              </w:rPr>
              <w:t>How do state-level usury rate caps and judicial foreclosure laws correlate with regional charge-off recovery rates?</w:t>
            </w:r>
          </w:p>
        </w:tc>
        <w:tc>
          <w:tcPr>
            <w:tcW w:type="dxa" w:w="3312"/>
            <w:shd w:fill="FFFFFF"/>
            <w:tcMar>
              <w:top w:w="60" w:type="dxa"/>
              <w:bottom w:w="60" w:type="dxa"/>
              <w:left w:w="70" w:type="dxa"/>
              <w:right w:w="70" w:type="dxa"/>
            </w:tcMar>
          </w:tcPr>
          <w:p>
            <w:r>
              <w:rPr>
                <w:rFonts w:ascii="Calibri" w:hAnsi="Calibri"/>
                <w:sz w:val="16"/>
              </w:rPr>
              <w:t>State Recovery Efficiency &amp; Legal Framework Index</w:t>
            </w:r>
          </w:p>
        </w:tc>
      </w:tr>
      <w:tr>
        <w:tc>
          <w:tcPr>
            <w:tcW w:type="dxa" w:w="3312"/>
            <w:shd w:fill="F4F6F9"/>
            <w:tcMar>
              <w:top w:w="60" w:type="dxa"/>
              <w:bottom w:w="60" w:type="dxa"/>
              <w:left w:w="70" w:type="dxa"/>
              <w:right w:w="70" w:type="dxa"/>
            </w:tcMar>
          </w:tcPr>
          <w:p>
            <w:r>
              <w:rPr>
                <w:rFonts w:ascii="Calibri" w:hAnsi="Calibri"/>
                <w:b/>
                <w:color w:val="1B365D"/>
                <w:sz w:val="16"/>
              </w:rPr>
              <w:t>Interest Rate Elasticity &amp; Borrower Conversion Rates</w:t>
            </w:r>
          </w:p>
        </w:tc>
        <w:tc>
          <w:tcPr>
            <w:tcW w:type="dxa" w:w="3312"/>
            <w:shd w:fill="F4F6F9"/>
            <w:tcMar>
              <w:top w:w="60" w:type="dxa"/>
              <w:bottom w:w="60" w:type="dxa"/>
              <w:left w:w="70" w:type="dxa"/>
              <w:right w:w="70" w:type="dxa"/>
            </w:tcMar>
          </w:tcPr>
          <w:p>
            <w:r>
              <w:rPr>
                <w:rFonts w:ascii="Calibri" w:hAnsi="Calibri"/>
                <w:sz w:val="16"/>
              </w:rPr>
              <w:t>At what interest rate threshold does application conversion decline significantly for Grade A and B prime borrowers, risking adverse selection?</w:t>
            </w:r>
          </w:p>
        </w:tc>
        <w:tc>
          <w:tcPr>
            <w:tcW w:type="dxa" w:w="3312"/>
            <w:shd w:fill="F4F6F9"/>
            <w:tcMar>
              <w:top w:w="60" w:type="dxa"/>
              <w:bottom w:w="60" w:type="dxa"/>
              <w:left w:w="70" w:type="dxa"/>
              <w:right w:w="70" w:type="dxa"/>
            </w:tcMar>
          </w:tcPr>
          <w:p>
            <w:r>
              <w:rPr>
                <w:rFonts w:ascii="Calibri" w:hAnsi="Calibri"/>
                <w:sz w:val="16"/>
              </w:rPr>
              <w:t>Pricing Elasticity &amp; Application Conversion Funnel</w:t>
            </w:r>
          </w:p>
        </w:tc>
      </w:tr>
      <w:tr>
        <w:tc>
          <w:tcPr>
            <w:tcW w:type="dxa" w:w="3312"/>
            <w:shd w:fill="FFFFFF"/>
            <w:tcMar>
              <w:top w:w="60" w:type="dxa"/>
              <w:bottom w:w="60" w:type="dxa"/>
              <w:left w:w="70" w:type="dxa"/>
              <w:right w:w="70" w:type="dxa"/>
            </w:tcMar>
          </w:tcPr>
          <w:p>
            <w:r>
              <w:rPr>
                <w:rFonts w:ascii="Calibri" w:hAnsi="Calibri"/>
                <w:b/>
                <w:color w:val="1B365D"/>
                <w:sz w:val="16"/>
              </w:rPr>
              <w:t>Predictive Probability of Default (PD) Modeling</w:t>
            </w:r>
          </w:p>
        </w:tc>
        <w:tc>
          <w:tcPr>
            <w:tcW w:type="dxa" w:w="3312"/>
            <w:shd w:fill="FFFFFF"/>
            <w:tcMar>
              <w:top w:w="60" w:type="dxa"/>
              <w:bottom w:w="60" w:type="dxa"/>
              <w:left w:w="70" w:type="dxa"/>
              <w:right w:w="70" w:type="dxa"/>
            </w:tcMar>
          </w:tcPr>
          <w:p>
            <w:r>
              <w:rPr>
                <w:rFonts w:ascii="Calibri" w:hAnsi="Calibri"/>
                <w:sz w:val="16"/>
              </w:rPr>
              <w:t>Can logistic regression or gradient boosting algorithms predict default likelihood at point-of-sale with an AUC ROC &gt; 0.82 using existing application telemetry?</w:t>
            </w:r>
          </w:p>
        </w:tc>
        <w:tc>
          <w:tcPr>
            <w:tcW w:type="dxa" w:w="3312"/>
            <w:shd w:fill="FFFFFF"/>
            <w:tcMar>
              <w:top w:w="60" w:type="dxa"/>
              <w:bottom w:w="60" w:type="dxa"/>
              <w:left w:w="70" w:type="dxa"/>
              <w:right w:w="70" w:type="dxa"/>
            </w:tcMar>
          </w:tcPr>
          <w:p>
            <w:r>
              <w:rPr>
                <w:rFonts w:ascii="Calibri" w:hAnsi="Calibri"/>
                <w:sz w:val="16"/>
              </w:rPr>
              <w:t>Machine Learning Model Evaluation &amp; ROC Curve</w:t>
            </w:r>
          </w:p>
        </w:tc>
      </w:tr>
      <w:tr>
        <w:tc>
          <w:tcPr>
            <w:tcW w:type="dxa" w:w="3312"/>
            <w:shd w:fill="F4F6F9"/>
            <w:tcMar>
              <w:top w:w="60" w:type="dxa"/>
              <w:bottom w:w="60" w:type="dxa"/>
              <w:left w:w="70" w:type="dxa"/>
              <w:right w:w="70" w:type="dxa"/>
            </w:tcMar>
          </w:tcPr>
          <w:p>
            <w:r>
              <w:rPr>
                <w:rFonts w:ascii="Calibri" w:hAnsi="Calibri"/>
                <w:b/>
                <w:color w:val="1B365D"/>
                <w:sz w:val="16"/>
              </w:rPr>
              <w:t>Loss Given Default (LGD) Optimization by Asset Class</w:t>
            </w:r>
          </w:p>
        </w:tc>
        <w:tc>
          <w:tcPr>
            <w:tcW w:type="dxa" w:w="3312"/>
            <w:shd w:fill="F4F6F9"/>
            <w:tcMar>
              <w:top w:w="60" w:type="dxa"/>
              <w:bottom w:w="60" w:type="dxa"/>
              <w:left w:w="70" w:type="dxa"/>
              <w:right w:w="70" w:type="dxa"/>
            </w:tcMar>
          </w:tcPr>
          <w:p>
            <w:r>
              <w:rPr>
                <w:rFonts w:ascii="Calibri" w:hAnsi="Calibri"/>
                <w:sz w:val="16"/>
              </w:rPr>
              <w:t>What structural borrower attributes (homeowner, high income, bank trade lines) correlate with higher recovery proceeds post charge-off?</w:t>
            </w:r>
          </w:p>
        </w:tc>
        <w:tc>
          <w:tcPr>
            <w:tcW w:type="dxa" w:w="3312"/>
            <w:shd w:fill="F4F6F9"/>
            <w:tcMar>
              <w:top w:w="60" w:type="dxa"/>
              <w:bottom w:w="60" w:type="dxa"/>
              <w:left w:w="70" w:type="dxa"/>
              <w:right w:w="70" w:type="dxa"/>
            </w:tcMar>
          </w:tcPr>
          <w:p>
            <w:r>
              <w:rPr>
                <w:rFonts w:ascii="Calibri" w:hAnsi="Calibri"/>
                <w:sz w:val="16"/>
              </w:rPr>
              <w:t>LGD Regression Tree &amp; Recovery Predictor Matrix</w:t>
            </w:r>
          </w:p>
        </w:tc>
      </w:tr>
      <w:tr>
        <w:tc>
          <w:tcPr>
            <w:tcW w:type="dxa" w:w="3312"/>
            <w:shd w:fill="FFFFFF"/>
            <w:tcMar>
              <w:top w:w="60" w:type="dxa"/>
              <w:bottom w:w="60" w:type="dxa"/>
              <w:left w:w="70" w:type="dxa"/>
              <w:right w:w="70" w:type="dxa"/>
            </w:tcMar>
          </w:tcPr>
          <w:p>
            <w:r>
              <w:rPr>
                <w:rFonts w:ascii="Calibri" w:hAnsi="Calibri"/>
                <w:b/>
                <w:color w:val="1B365D"/>
                <w:sz w:val="16"/>
              </w:rPr>
              <w:t>Exposure at Default (EAD) &amp; Revolving Line Drawdown Modeling</w:t>
            </w:r>
          </w:p>
        </w:tc>
        <w:tc>
          <w:tcPr>
            <w:tcW w:type="dxa" w:w="3312"/>
            <w:shd w:fill="FFFFFF"/>
            <w:tcMar>
              <w:top w:w="60" w:type="dxa"/>
              <w:bottom w:w="60" w:type="dxa"/>
              <w:left w:w="70" w:type="dxa"/>
              <w:right w:w="70" w:type="dxa"/>
            </w:tcMar>
          </w:tcPr>
          <w:p>
            <w:r>
              <w:rPr>
                <w:rFonts w:ascii="Calibri" w:hAnsi="Calibri"/>
                <w:sz w:val="16"/>
              </w:rPr>
              <w:t>How does borrower utilization behavior in the 90 days preceding default affect net bank write-off exposure?</w:t>
            </w:r>
          </w:p>
        </w:tc>
        <w:tc>
          <w:tcPr>
            <w:tcW w:type="dxa" w:w="3312"/>
            <w:shd w:fill="FFFFFF"/>
            <w:tcMar>
              <w:top w:w="60" w:type="dxa"/>
              <w:bottom w:w="60" w:type="dxa"/>
              <w:left w:w="70" w:type="dxa"/>
              <w:right w:w="70" w:type="dxa"/>
            </w:tcMar>
          </w:tcPr>
          <w:p>
            <w:r>
              <w:rPr>
                <w:rFonts w:ascii="Calibri" w:hAnsi="Calibri"/>
                <w:sz w:val="16"/>
              </w:rPr>
              <w:t>Pre-Default Balance Run-Up Telemetry Visualizer</w:t>
            </w:r>
          </w:p>
        </w:tc>
      </w:tr>
      <w:tr>
        <w:tc>
          <w:tcPr>
            <w:tcW w:type="dxa" w:w="3312"/>
            <w:shd w:fill="F4F6F9"/>
            <w:tcMar>
              <w:top w:w="60" w:type="dxa"/>
              <w:bottom w:w="60" w:type="dxa"/>
              <w:left w:w="70" w:type="dxa"/>
              <w:right w:w="70" w:type="dxa"/>
            </w:tcMar>
          </w:tcPr>
          <w:p>
            <w:r>
              <w:rPr>
                <w:rFonts w:ascii="Calibri" w:hAnsi="Calibri"/>
                <w:b/>
                <w:color w:val="1B365D"/>
                <w:sz w:val="16"/>
              </w:rPr>
              <w:t>Macroeconomic Stress Testing &amp; Unemployment Shocks</w:t>
            </w:r>
          </w:p>
        </w:tc>
        <w:tc>
          <w:tcPr>
            <w:tcW w:type="dxa" w:w="3312"/>
            <w:shd w:fill="F4F6F9"/>
            <w:tcMar>
              <w:top w:w="60" w:type="dxa"/>
              <w:bottom w:w="60" w:type="dxa"/>
              <w:left w:w="70" w:type="dxa"/>
              <w:right w:w="70" w:type="dxa"/>
            </w:tcMar>
          </w:tcPr>
          <w:p>
            <w:r>
              <w:rPr>
                <w:rFonts w:ascii="Calibri" w:hAnsi="Calibri"/>
                <w:sz w:val="16"/>
              </w:rPr>
              <w:t>How would a 200 bps increase in the federal funds rate and a 2% rise in regional unemployment impact portfolio charge-off rates and regulatory capital adequacy?</w:t>
            </w:r>
          </w:p>
        </w:tc>
        <w:tc>
          <w:tcPr>
            <w:tcW w:type="dxa" w:w="3312"/>
            <w:shd w:fill="F4F6F9"/>
            <w:tcMar>
              <w:top w:w="60" w:type="dxa"/>
              <w:bottom w:w="60" w:type="dxa"/>
              <w:left w:w="70" w:type="dxa"/>
              <w:right w:w="70" w:type="dxa"/>
            </w:tcMar>
          </w:tcPr>
          <w:p>
            <w:r>
              <w:rPr>
                <w:rFonts w:ascii="Calibri" w:hAnsi="Calibri"/>
                <w:sz w:val="16"/>
              </w:rPr>
              <w:t>Stress Test Scenario Simulator (CCAR / DFAST Alignment)</w:t>
            </w:r>
          </w:p>
        </w:tc>
      </w:tr>
      <w:tr>
        <w:tc>
          <w:tcPr>
            <w:tcW w:type="dxa" w:w="3312"/>
            <w:shd w:fill="FFFFFF"/>
            <w:tcMar>
              <w:top w:w="60" w:type="dxa"/>
              <w:bottom w:w="60" w:type="dxa"/>
              <w:left w:w="70" w:type="dxa"/>
              <w:right w:w="70" w:type="dxa"/>
            </w:tcMar>
          </w:tcPr>
          <w:p>
            <w:r>
              <w:rPr>
                <w:rFonts w:ascii="Calibri" w:hAnsi="Calibri"/>
                <w:b/>
                <w:color w:val="1B365D"/>
                <w:sz w:val="16"/>
              </w:rPr>
              <w:t>Customer Lifetime Value (CLV) &amp; Cross-Sell Potential</w:t>
            </w:r>
          </w:p>
        </w:tc>
        <w:tc>
          <w:tcPr>
            <w:tcW w:type="dxa" w:w="3312"/>
            <w:shd w:fill="FFFFFF"/>
            <w:tcMar>
              <w:top w:w="60" w:type="dxa"/>
              <w:bottom w:w="60" w:type="dxa"/>
              <w:left w:w="70" w:type="dxa"/>
              <w:right w:w="70" w:type="dxa"/>
            </w:tcMar>
          </w:tcPr>
          <w:p>
            <w:r>
              <w:rPr>
                <w:rFonts w:ascii="Calibri" w:hAnsi="Calibri"/>
                <w:sz w:val="16"/>
              </w:rPr>
              <w:t>Which fully paid loan cohorts demonstrate the highest propensity to take on high-margin secondary banking products (mortgages, auto, wealth management)?</w:t>
            </w:r>
          </w:p>
        </w:tc>
        <w:tc>
          <w:tcPr>
            <w:tcW w:type="dxa" w:w="3312"/>
            <w:shd w:fill="FFFFFF"/>
            <w:tcMar>
              <w:top w:w="60" w:type="dxa"/>
              <w:bottom w:w="60" w:type="dxa"/>
              <w:left w:w="70" w:type="dxa"/>
              <w:right w:w="70" w:type="dxa"/>
            </w:tcMar>
          </w:tcPr>
          <w:p>
            <w:r>
              <w:rPr>
                <w:rFonts w:ascii="Calibri" w:hAnsi="Calibri"/>
                <w:sz w:val="16"/>
              </w:rPr>
              <w:t>Borrower Lifetime Value &amp; Product Affinity Matrix</w:t>
            </w:r>
          </w:p>
        </w:tc>
      </w:tr>
    </w:tbl>
    <w:p>
      <w:r>
        <w:br w:type="page"/>
      </w:r>
    </w:p>
    <w:p>
      <w:pPr>
        <w:pStyle w:val="Heading1"/>
        <w:keepNext/>
        <w:spacing w:before="280" w:after="80"/>
      </w:pPr>
      <w:r>
        <w:rPr>
          <w:rFonts w:ascii="Calibri" w:hAnsi="Calibri"/>
          <w:b/>
          <w:color w:val="1B365D"/>
          <w:sz w:val="32"/>
        </w:rPr>
        <w:t>Section 5: Analyst Strategic Recommendations</w:t>
      </w:r>
    </w:p>
    <w:p>
      <w:r>
        <w:t>Based on deep forensic analysis of the 38,576 portfolio records and Power BI operational telemetry, the following four-tier roadmap is recommended for executive implementation across business strategy, credit policy, dashboard UX, and technical architecture.</w:t>
      </w:r>
    </w:p>
    <w:p>
      <w:pPr>
        <w:pStyle w:val="Heading2"/>
        <w:keepNext/>
        <w:spacing w:before="200" w:after="80"/>
      </w:pPr>
      <w:r>
        <w:rPr>
          <w:rFonts w:ascii="Calibri" w:hAnsi="Calibri"/>
          <w:b/>
          <w:color w:val="336699"/>
          <w:sz w:val="26"/>
        </w:rPr>
        <w:t>A. Power BI Dashboard Architecture &amp; UX Enhancements</w:t>
      </w:r>
    </w:p>
    <w:p>
      <w:pPr>
        <w:pStyle w:val="ListBullet"/>
      </w:pPr>
      <w:r>
        <w:rPr>
          <w:b/>
          <w:color w:val="1B365D"/>
        </w:rPr>
        <w:t xml:space="preserve">Implement Dynamic Metric Switching via Calculation Groups: </w:t>
      </w:r>
      <w:r>
        <w:t>Allow executives to toggle all dashboard visuals simultaneously between 'Funded Amount', 'Applications', 'Amount Received', and 'Default Rate' using DAX calculation groups rather than creating duplicate charts.</w:t>
      </w:r>
    </w:p>
    <w:p>
      <w:pPr>
        <w:pStyle w:val="ListBullet"/>
      </w:pPr>
      <w:r>
        <w:rPr>
          <w:b/>
          <w:color w:val="1B365D"/>
        </w:rPr>
        <w:t xml:space="preserve">Embed Automated Drill-Through to Borrower Ledger: </w:t>
      </w:r>
      <w:r>
        <w:t>Configure right-click drill-through on any state, grade, or purpose visual directly to a filtered Page 3 (Details Grid) displaying customer loan IDs, installments, and recovery balances.</w:t>
      </w:r>
    </w:p>
    <w:p>
      <w:pPr>
        <w:pStyle w:val="ListBullet"/>
      </w:pPr>
      <w:r>
        <w:rPr>
          <w:b/>
          <w:color w:val="1B365D"/>
        </w:rPr>
        <w:t xml:space="preserve">Deploy Dynamic Tooltip Micro-Visualizations: </w:t>
      </w:r>
      <w:r>
        <w:t>Replace standard hover text with miniature report-page tooltips displaying 12-month trend sparklines and grade distributions when hovering over any state on the filled map.</w:t>
      </w:r>
    </w:p>
    <w:p>
      <w:pPr>
        <w:pStyle w:val="ListBullet"/>
      </w:pPr>
      <w:r>
        <w:rPr>
          <w:b/>
          <w:color w:val="1B365D"/>
        </w:rPr>
        <w:t xml:space="preserve">Integrate What-If Parameter Loss Allowance Sliders: </w:t>
      </w:r>
      <w:r>
        <w:t>Create interactive sensitivity sliders enabling credit risk officers to project net loss reserves based on variable default rate increases (e.g., +1% to +5% stress).</w:t>
      </w:r>
    </w:p>
    <w:p>
      <w:pPr>
        <w:pStyle w:val="Heading2"/>
        <w:keepNext/>
        <w:spacing w:before="200" w:after="80"/>
      </w:pPr>
      <w:r>
        <w:rPr>
          <w:rFonts w:ascii="Calibri" w:hAnsi="Calibri"/>
          <w:b/>
          <w:color w:val="336699"/>
          <w:sz w:val="26"/>
        </w:rPr>
        <w:t>B. Credit Risk Policy &amp; Underwriting Interventions</w:t>
      </w:r>
    </w:p>
    <w:p>
      <w:pPr>
        <w:pStyle w:val="ListBullet"/>
      </w:pPr>
      <w:r>
        <w:rPr>
          <w:b/>
          <w:color w:val="1B365D"/>
        </w:rPr>
        <w:t xml:space="preserve">Enforce Hard Cut-Offs on Sub-Prime Tenors: </w:t>
      </w:r>
      <w:r>
        <w:t>Prohibit 60-month unsecured terms for applicants rated below Grade C or with DTI exceeding 16%, immediately reducing high-severity default exposure.</w:t>
      </w:r>
    </w:p>
    <w:p>
      <w:pPr>
        <w:pStyle w:val="ListBullet"/>
      </w:pPr>
      <w:r>
        <w:rPr>
          <w:b/>
          <w:color w:val="1B365D"/>
        </w:rPr>
        <w:t xml:space="preserve">Establish Direct Disbursement Protocols for Debt Consolidation: </w:t>
      </w:r>
      <w:r>
        <w:t>Mitigate re-leveraging risk by paying third-party creditors directly, ensuring loan proceeds eliminate debt rather than funding discretionary purchases.</w:t>
      </w:r>
    </w:p>
    <w:p>
      <w:pPr>
        <w:pStyle w:val="ListBullet"/>
      </w:pPr>
      <w:r>
        <w:rPr>
          <w:b/>
          <w:color w:val="1B365D"/>
        </w:rPr>
        <w:t xml:space="preserve">Overhaul Unsecured Small Business Underwriting: </w:t>
      </w:r>
      <w:r>
        <w:t>Given the 27.1% charge-off rate on small business loans, transition commercial credit requests to dedicated commercial scorecards requiring business tax returns and DSCR validation.</w:t>
      </w:r>
    </w:p>
    <w:p>
      <w:pPr>
        <w:pStyle w:val="Heading2"/>
        <w:keepNext/>
        <w:spacing w:before="200" w:after="80"/>
      </w:pPr>
      <w:r>
        <w:rPr>
          <w:rFonts w:ascii="Calibri" w:hAnsi="Calibri"/>
          <w:b/>
          <w:color w:val="336699"/>
          <w:sz w:val="26"/>
        </w:rPr>
        <w:t>C. Advanced KPIs &amp; Quantitative Risk Modeling</w:t>
      </w:r>
    </w:p>
    <w:p>
      <w:pPr>
        <w:pStyle w:val="ListBullet"/>
      </w:pPr>
      <w:r>
        <w:rPr>
          <w:b/>
          <w:color w:val="1B365D"/>
        </w:rPr>
        <w:t xml:space="preserve">Net Charge-Off Rate (NCO): </w:t>
      </w:r>
      <w:r>
        <w:t>Formalize NCO % = (Gross Charge-Offs - Post-Default Recoveries) / Average Portfolio Funded Amount to track true economic loss.</w:t>
      </w:r>
    </w:p>
    <w:p>
      <w:pPr>
        <w:pStyle w:val="ListBullet"/>
      </w:pPr>
      <w:r>
        <w:rPr>
          <w:b/>
          <w:color w:val="1B365D"/>
        </w:rPr>
        <w:t xml:space="preserve">First Payment Default Rate (FPD): </w:t>
      </w:r>
      <w:r>
        <w:t>Monitor the percentage of newly disbursed loans that default on Payment #1 or #2 as an early indicator of origination fraud or underwriting slippage.</w:t>
      </w:r>
    </w:p>
    <w:p>
      <w:pPr>
        <w:pStyle w:val="ListBullet"/>
      </w:pPr>
      <w:r>
        <w:rPr>
          <w:b/>
          <w:color w:val="1B365D"/>
        </w:rPr>
        <w:t xml:space="preserve">Risk-Adjusted Return on Capital (RAROC): </w:t>
      </w:r>
      <w:r>
        <w:t>Calculate net interest margin less expected loss and operational overhead per credit tier to optimize loan pricing strategies.</w:t>
      </w:r>
    </w:p>
    <w:p>
      <w:pPr>
        <w:pStyle w:val="Heading2"/>
        <w:keepNext/>
        <w:spacing w:before="200" w:after="80"/>
      </w:pPr>
      <w:r>
        <w:rPr>
          <w:rFonts w:ascii="Calibri" w:hAnsi="Calibri"/>
          <w:b/>
          <w:color w:val="336699"/>
          <w:sz w:val="26"/>
        </w:rPr>
        <w:t>D. Enterprise Data Pipeline &amp; BI Scalability</w:t>
      </w:r>
    </w:p>
    <w:p>
      <w:pPr>
        <w:pStyle w:val="ListBullet"/>
      </w:pPr>
      <w:r>
        <w:rPr>
          <w:b/>
          <w:color w:val="1B365D"/>
        </w:rPr>
        <w:t xml:space="preserve">Migrate Flat File Storage to Enterprise SQL Lakehouse: </w:t>
      </w:r>
      <w:r>
        <w:t>Transition Financial_loan_data.xlsx into an automated Microsoft SQL Server or Azure Synapse database with scheduled incremental refresh.</w:t>
      </w:r>
    </w:p>
    <w:p>
      <w:pPr>
        <w:pStyle w:val="ListBullet"/>
      </w:pPr>
      <w:r>
        <w:rPr>
          <w:b/>
          <w:color w:val="1B365D"/>
        </w:rPr>
        <w:t xml:space="preserve">Implement Star Schema Architecture: </w:t>
      </w:r>
      <w:r>
        <w:t>Deconstruct flat table structures into optimized Fact (Fact_Loan_Originations, Fact_Repayments) and Dimension (Dim_Borrower, Dim_Date, Dim_Geography, Dim_Credit_Grade) tables to support sub-second query rendering on millions of rows.</w:t>
      </w:r>
    </w:p>
    <w:p>
      <w:pPr>
        <w:pStyle w:val="Heading1"/>
        <w:keepNext/>
        <w:spacing w:before="280" w:after="80"/>
      </w:pPr>
      <w:r>
        <w:rPr>
          <w:rFonts w:ascii="Calibri" w:hAnsi="Calibri"/>
          <w:b/>
          <w:color w:val="1B365D"/>
          <w:sz w:val="32"/>
        </w:rPr>
        <w:t>Section 6: Stakeholder Presentation Flow &amp; Narrative Architecture</w:t>
      </w:r>
    </w:p>
    <w:p>
      <w:r>
        <w:t>To deliver maximum impact during executive committee briefings and client demonstrations, structure the narrative presentation following this six-stage storyline:</w:t>
      </w:r>
    </w:p>
    <w:tbl>
      <w:tblPr>
        <w:tblW w:type="auto" w:w="0"/>
        <w:jc w:val="center"/>
        <w:tblLayout w:type="fixed"/>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168"/>
        <w:gridCol w:w="6768"/>
      </w:tblGrid>
      <w:tr>
        <w:tc>
          <w:tcPr>
            <w:tcW w:type="dxa" w:w="4968"/>
            <w:shd w:fill="336699"/>
            <w:tcMar>
              <w:top w:w="80" w:type="dxa"/>
              <w:bottom w:w="80" w:type="dxa"/>
              <w:left w:w="80" w:type="dxa"/>
              <w:right w:w="80" w:type="dxa"/>
            </w:tcMar>
          </w:tcPr>
          <w:p>
            <w:r>
              <w:rPr>
                <w:rFonts w:ascii="Calibri" w:hAnsi="Calibri"/>
                <w:b/>
                <w:color w:val="FFFFFF"/>
                <w:sz w:val="17"/>
              </w:rPr>
              <w:t>Presentation Stage &amp; Focus</w:t>
            </w:r>
          </w:p>
        </w:tc>
        <w:tc>
          <w:tcPr>
            <w:tcW w:type="dxa" w:w="4968"/>
            <w:shd w:fill="336699"/>
            <w:tcMar>
              <w:top w:w="80" w:type="dxa"/>
              <w:bottom w:w="80" w:type="dxa"/>
              <w:left w:w="80" w:type="dxa"/>
              <w:right w:w="80" w:type="dxa"/>
            </w:tcMar>
          </w:tcPr>
          <w:p>
            <w:r>
              <w:rPr>
                <w:rFonts w:ascii="Calibri" w:hAnsi="Calibri"/>
                <w:b/>
                <w:color w:val="FFFFFF"/>
                <w:sz w:val="17"/>
              </w:rPr>
              <w:t>Executive Narrative &amp; Visual Anchors</w:t>
            </w:r>
          </w:p>
        </w:tc>
      </w:tr>
      <w:tr>
        <w:tc>
          <w:tcPr>
            <w:tcW w:type="dxa" w:w="4968"/>
            <w:shd w:fill="FFFFFF"/>
            <w:tcMar>
              <w:top w:w="60" w:type="dxa"/>
              <w:bottom w:w="60" w:type="dxa"/>
              <w:left w:w="70" w:type="dxa"/>
              <w:right w:w="70" w:type="dxa"/>
            </w:tcMar>
          </w:tcPr>
          <w:p>
            <w:r>
              <w:rPr>
                <w:rFonts w:ascii="Calibri" w:hAnsi="Calibri"/>
                <w:b/>
                <w:color w:val="1B365D"/>
                <w:sz w:val="16"/>
              </w:rPr>
              <w:t>Stage 1: Executive Summary &amp; Performance Context</w:t>
            </w:r>
          </w:p>
        </w:tc>
        <w:tc>
          <w:tcPr>
            <w:tcW w:type="dxa" w:w="4968"/>
            <w:shd w:fill="FFFFFF"/>
            <w:tcMar>
              <w:top w:w="60" w:type="dxa"/>
              <w:bottom w:w="60" w:type="dxa"/>
              <w:left w:w="70" w:type="dxa"/>
              <w:right w:w="70" w:type="dxa"/>
            </w:tcMar>
          </w:tcPr>
          <w:p>
            <w:r>
              <w:rPr>
                <w:rFonts w:ascii="Calibri" w:hAnsi="Calibri"/>
                <w:sz w:val="16"/>
              </w:rPr>
              <w:t>Establish the macro portfolio reality: 38,576 applications, $435.8M funded, $473.1M collected, and healthy +13% MoM growth in December.</w:t>
            </w:r>
          </w:p>
        </w:tc>
      </w:tr>
      <w:tr>
        <w:tc>
          <w:tcPr>
            <w:tcW w:type="dxa" w:w="4968"/>
            <w:shd w:fill="F4F6F9"/>
            <w:tcMar>
              <w:top w:w="60" w:type="dxa"/>
              <w:bottom w:w="60" w:type="dxa"/>
              <w:left w:w="70" w:type="dxa"/>
              <w:right w:w="70" w:type="dxa"/>
            </w:tcMar>
          </w:tcPr>
          <w:p>
            <w:r>
              <w:rPr>
                <w:rFonts w:ascii="Calibri" w:hAnsi="Calibri"/>
                <w:b/>
                <w:color w:val="1B365D"/>
                <w:sz w:val="16"/>
              </w:rPr>
              <w:t>Stage 2: Portfolio Quality &amp; Asset Segmentation (Good vs. Bad)</w:t>
            </w:r>
          </w:p>
        </w:tc>
        <w:tc>
          <w:tcPr>
            <w:tcW w:type="dxa" w:w="4968"/>
            <w:shd w:fill="F4F6F9"/>
            <w:tcMar>
              <w:top w:w="60" w:type="dxa"/>
              <w:bottom w:w="60" w:type="dxa"/>
              <w:left w:w="70" w:type="dxa"/>
              <w:right w:w="70" w:type="dxa"/>
            </w:tcMar>
          </w:tcPr>
          <w:p>
            <w:r>
              <w:rPr>
                <w:rFonts w:ascii="Calibri" w:hAnsi="Calibri"/>
                <w:sz w:val="16"/>
              </w:rPr>
              <w:t>Present the 86.2% Good Loan baseline ($370.2M funded, +$65.6M cash surplus) against the 13.8% Bad Loan exposure ($65.5M funded, -$28.2M unrecovered gap).</w:t>
            </w:r>
          </w:p>
        </w:tc>
      </w:tr>
      <w:tr>
        <w:tc>
          <w:tcPr>
            <w:tcW w:type="dxa" w:w="4968"/>
            <w:shd w:fill="FFFFFF"/>
            <w:tcMar>
              <w:top w:w="60" w:type="dxa"/>
              <w:bottom w:w="60" w:type="dxa"/>
              <w:left w:w="70" w:type="dxa"/>
              <w:right w:w="70" w:type="dxa"/>
            </w:tcMar>
          </w:tcPr>
          <w:p>
            <w:r>
              <w:rPr>
                <w:rFonts w:ascii="Calibri" w:hAnsi="Calibri"/>
                <w:b/>
                <w:color w:val="1B365D"/>
                <w:sz w:val="16"/>
              </w:rPr>
              <w:t>Stage 3: Deep-Dive Credit Risk &amp; Grade Analysis</w:t>
            </w:r>
          </w:p>
        </w:tc>
        <w:tc>
          <w:tcPr>
            <w:tcW w:type="dxa" w:w="4968"/>
            <w:shd w:fill="FFFFFF"/>
            <w:tcMar>
              <w:top w:w="60" w:type="dxa"/>
              <w:bottom w:w="60" w:type="dxa"/>
              <w:left w:w="70" w:type="dxa"/>
              <w:right w:w="70" w:type="dxa"/>
            </w:tcMar>
          </w:tcPr>
          <w:p>
            <w:r>
              <w:rPr>
                <w:rFonts w:ascii="Calibri" w:hAnsi="Calibri"/>
                <w:sz w:val="16"/>
              </w:rPr>
              <w:t>Expose the steep default gradient from Grade A (5.9%) to Grade G (33.8%), demonstrating why risk-based pricing must be recalibrated for lower tiers.</w:t>
            </w:r>
          </w:p>
        </w:tc>
      </w:tr>
      <w:tr>
        <w:tc>
          <w:tcPr>
            <w:tcW w:type="dxa" w:w="4968"/>
            <w:shd w:fill="F4F6F9"/>
            <w:tcMar>
              <w:top w:w="60" w:type="dxa"/>
              <w:bottom w:w="60" w:type="dxa"/>
              <w:left w:w="70" w:type="dxa"/>
              <w:right w:w="70" w:type="dxa"/>
            </w:tcMar>
          </w:tcPr>
          <w:p>
            <w:r>
              <w:rPr>
                <w:rFonts w:ascii="Calibri" w:hAnsi="Calibri"/>
                <w:b/>
                <w:color w:val="1B365D"/>
                <w:sz w:val="16"/>
              </w:rPr>
              <w:t>Stage 4: Geographic Footprint &amp; Regional Exposure</w:t>
            </w:r>
          </w:p>
        </w:tc>
        <w:tc>
          <w:tcPr>
            <w:tcW w:type="dxa" w:w="4968"/>
            <w:shd w:fill="F4F6F9"/>
            <w:tcMar>
              <w:top w:w="60" w:type="dxa"/>
              <w:bottom w:w="60" w:type="dxa"/>
              <w:left w:w="70" w:type="dxa"/>
              <w:right w:w="70" w:type="dxa"/>
            </w:tcMar>
          </w:tcPr>
          <w:p>
            <w:r>
              <w:rPr>
                <w:rFonts w:ascii="Calibri" w:hAnsi="Calibri"/>
                <w:sz w:val="16"/>
              </w:rPr>
              <w:t>Highlight the high-volume engine (CA, NY, TX representing 45% volume) while identifying geographic risk hot spots (NV, FL) requiring localized underwriting adjustments.</w:t>
            </w:r>
          </w:p>
        </w:tc>
      </w:tr>
      <w:tr>
        <w:tc>
          <w:tcPr>
            <w:tcW w:type="dxa" w:w="4968"/>
            <w:shd w:fill="FFFFFF"/>
            <w:tcMar>
              <w:top w:w="60" w:type="dxa"/>
              <w:bottom w:w="60" w:type="dxa"/>
              <w:left w:w="70" w:type="dxa"/>
              <w:right w:w="70" w:type="dxa"/>
            </w:tcMar>
          </w:tcPr>
          <w:p>
            <w:r>
              <w:rPr>
                <w:rFonts w:ascii="Calibri" w:hAnsi="Calibri"/>
                <w:b/>
                <w:color w:val="1B365D"/>
                <w:sz w:val="16"/>
              </w:rPr>
              <w:t>Stage 5: Loan Purpose Dynamics &amp; Concentration Risk</w:t>
            </w:r>
          </w:p>
        </w:tc>
        <w:tc>
          <w:tcPr>
            <w:tcW w:type="dxa" w:w="4968"/>
            <w:shd w:fill="FFFFFF"/>
            <w:tcMar>
              <w:top w:w="60" w:type="dxa"/>
              <w:bottom w:w="60" w:type="dxa"/>
              <w:left w:w="70" w:type="dxa"/>
              <w:right w:w="70" w:type="dxa"/>
            </w:tcMar>
          </w:tcPr>
          <w:p>
            <w:r>
              <w:rPr>
                <w:rFonts w:ascii="Calibri" w:hAnsi="Calibri"/>
                <w:sz w:val="16"/>
              </w:rPr>
              <w:t>Analyze debt consolidation ($217M funded) and highlight the high default rate in small business loans (27.1%), underscoring product-level vulnerabilities.</w:t>
            </w:r>
          </w:p>
        </w:tc>
      </w:tr>
      <w:tr>
        <w:tc>
          <w:tcPr>
            <w:tcW w:type="dxa" w:w="4968"/>
            <w:shd w:fill="F4F6F9"/>
            <w:tcMar>
              <w:top w:w="60" w:type="dxa"/>
              <w:bottom w:w="60" w:type="dxa"/>
              <w:left w:w="70" w:type="dxa"/>
              <w:right w:w="70" w:type="dxa"/>
            </w:tcMar>
          </w:tcPr>
          <w:p>
            <w:r>
              <w:rPr>
                <w:rFonts w:ascii="Calibri" w:hAnsi="Calibri"/>
                <w:b/>
                <w:color w:val="1B365D"/>
                <w:sz w:val="16"/>
              </w:rPr>
              <w:t>Stage 6: Strategic Recommendations &amp; Transformation Roadmap</w:t>
            </w:r>
          </w:p>
        </w:tc>
        <w:tc>
          <w:tcPr>
            <w:tcW w:type="dxa" w:w="4968"/>
            <w:shd w:fill="F4F6F9"/>
            <w:tcMar>
              <w:top w:w="60" w:type="dxa"/>
              <w:bottom w:w="60" w:type="dxa"/>
              <w:left w:w="70" w:type="dxa"/>
              <w:right w:w="70" w:type="dxa"/>
            </w:tcMar>
          </w:tcPr>
          <w:p>
            <w:r>
              <w:rPr>
                <w:rFonts w:ascii="Calibri" w:hAnsi="Calibri"/>
                <w:sz w:val="16"/>
              </w:rPr>
              <w:t>Conclude with concrete management actions: underwriting policy updates, automated recovery workflows, calculation group UX enhancements, and star-schema database migration.</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