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5B2A" w:rsidRPr="00815B2A" w:rsidRDefault="00815B2A" w:rsidP="00815B2A">
      <w:pPr>
        <w:pBdr>
          <w:bottom w:val="single" w:sz="6" w:space="8" w:color="005294"/>
        </w:pBdr>
        <w:shd w:val="clear" w:color="auto" w:fill="F7F7F7"/>
        <w:spacing w:before="75" w:after="150" w:line="240" w:lineRule="auto"/>
        <w:outlineLvl w:val="0"/>
        <w:rPr>
          <w:rFonts w:ascii="Calibri" w:eastAsia="Times New Roman" w:hAnsi="Calibri" w:cs="Calibri"/>
          <w:color w:val="005294"/>
          <w:kern w:val="36"/>
          <w:sz w:val="48"/>
          <w:szCs w:val="48"/>
        </w:rPr>
      </w:pPr>
      <w:proofErr w:type="spellStart"/>
      <w:r w:rsidRPr="00815B2A">
        <w:rPr>
          <w:rFonts w:ascii="Calibri" w:eastAsia="Times New Roman" w:hAnsi="Calibri" w:cs="Calibri"/>
          <w:color w:val="005294"/>
          <w:kern w:val="36"/>
          <w:sz w:val="48"/>
          <w:szCs w:val="48"/>
        </w:rPr>
        <w:t>Amortisation</w:t>
      </w:r>
      <w:proofErr w:type="spellEnd"/>
      <w:r w:rsidRPr="00815B2A">
        <w:rPr>
          <w:rFonts w:ascii="Calibri" w:eastAsia="Times New Roman" w:hAnsi="Calibri" w:cs="Calibri"/>
          <w:color w:val="005294"/>
          <w:kern w:val="36"/>
          <w:sz w:val="48"/>
          <w:szCs w:val="48"/>
        </w:rPr>
        <w:t>/Accrual of </w:t>
      </w:r>
      <w:r w:rsidRPr="00815B2A">
        <w:rPr>
          <w:rFonts w:ascii="Calibri" w:eastAsia="Times New Roman" w:hAnsi="Calibri" w:cs="Calibri"/>
          <w:color w:val="000000"/>
          <w:kern w:val="36"/>
          <w:sz w:val="48"/>
          <w:szCs w:val="48"/>
          <w:shd w:val="clear" w:color="auto" w:fill="FFFF66"/>
        </w:rPr>
        <w:t>Charges</w:t>
      </w:r>
      <w:r w:rsidRPr="00815B2A">
        <w:rPr>
          <w:rFonts w:ascii="Calibri" w:eastAsia="Times New Roman" w:hAnsi="Calibri" w:cs="Calibri"/>
          <w:color w:val="005294"/>
          <w:kern w:val="36"/>
          <w:sz w:val="48"/>
          <w:szCs w:val="48"/>
        </w:rPr>
        <w:t> in </w:t>
      </w:r>
      <w:r w:rsidRPr="00815B2A">
        <w:rPr>
          <w:rFonts w:ascii="Calibri" w:eastAsia="Times New Roman" w:hAnsi="Calibri" w:cs="Calibri"/>
          <w:color w:val="000000"/>
          <w:kern w:val="36"/>
          <w:sz w:val="48"/>
          <w:szCs w:val="48"/>
          <w:shd w:val="clear" w:color="auto" w:fill="99FF99"/>
        </w:rPr>
        <w:t>MD.DEAL</w:t>
      </w:r>
    </w:p>
    <w:p w:rsidR="00815B2A" w:rsidRPr="00815B2A" w:rsidRDefault="00815B2A" w:rsidP="00815B2A">
      <w:pPr>
        <w:spacing w:before="160" w:line="240" w:lineRule="auto"/>
        <w:ind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The </w:t>
      </w:r>
      <w:r w:rsidRPr="00815B2A">
        <w:rPr>
          <w:rFonts w:ascii="Calibri" w:eastAsia="Times New Roman" w:hAnsi="Calibri" w:cs="Calibri"/>
          <w:color w:val="000000"/>
          <w:sz w:val="24"/>
          <w:szCs w:val="24"/>
          <w:shd w:val="clear" w:color="auto" w:fill="FFFF66"/>
        </w:rPr>
        <w:t>charges</w:t>
      </w:r>
      <w:r w:rsidRPr="00815B2A">
        <w:rPr>
          <w:rFonts w:ascii="Calibri" w:eastAsia="Times New Roman" w:hAnsi="Calibri" w:cs="Calibri"/>
          <w:color w:val="1A1A1A"/>
          <w:sz w:val="24"/>
          <w:szCs w:val="24"/>
        </w:rPr>
        <w:t> so defined in </w:t>
      </w:r>
      <w:r w:rsidRPr="00815B2A">
        <w:rPr>
          <w:rFonts w:ascii="Calibri" w:eastAsia="Times New Roman" w:hAnsi="Calibri" w:cs="Calibri"/>
          <w:i/>
          <w:iCs/>
          <w:color w:val="000000"/>
          <w:sz w:val="24"/>
          <w:szCs w:val="24"/>
          <w:shd w:val="clear" w:color="auto" w:fill="99FF99"/>
        </w:rPr>
        <w:t>MD.DEAL</w:t>
      </w:r>
      <w:r w:rsidRPr="00815B2A">
        <w:rPr>
          <w:rFonts w:ascii="Calibri" w:eastAsia="Times New Roman" w:hAnsi="Calibri" w:cs="Calibri"/>
          <w:i/>
          <w:iCs/>
          <w:color w:val="1A1A1A"/>
          <w:sz w:val="24"/>
          <w:szCs w:val="24"/>
        </w:rPr>
        <w:t> </w:t>
      </w:r>
      <w:r w:rsidRPr="00815B2A">
        <w:rPr>
          <w:rFonts w:ascii="Calibri" w:eastAsia="Times New Roman" w:hAnsi="Calibri" w:cs="Calibri"/>
          <w:color w:val="1A1A1A"/>
          <w:sz w:val="24"/>
          <w:szCs w:val="24"/>
        </w:rPr>
        <w:t xml:space="preserve">can also be either </w:t>
      </w:r>
      <w:proofErr w:type="spellStart"/>
      <w:r w:rsidRPr="00815B2A">
        <w:rPr>
          <w:rFonts w:ascii="Calibri" w:eastAsia="Times New Roman" w:hAnsi="Calibri" w:cs="Calibri"/>
          <w:color w:val="1A1A1A"/>
          <w:sz w:val="24"/>
          <w:szCs w:val="24"/>
        </w:rPr>
        <w:t>amortised</w:t>
      </w:r>
      <w:proofErr w:type="spellEnd"/>
      <w:r w:rsidRPr="00815B2A">
        <w:rPr>
          <w:rFonts w:ascii="Calibri" w:eastAsia="Times New Roman" w:hAnsi="Calibri" w:cs="Calibri"/>
          <w:color w:val="1A1A1A"/>
          <w:sz w:val="24"/>
          <w:szCs w:val="24"/>
        </w:rPr>
        <w:t xml:space="preserve"> or accrued over a period of time. These </w:t>
      </w:r>
      <w:r w:rsidRPr="00815B2A">
        <w:rPr>
          <w:rFonts w:ascii="Calibri" w:eastAsia="Times New Roman" w:hAnsi="Calibri" w:cs="Calibri"/>
          <w:color w:val="000000"/>
          <w:sz w:val="24"/>
          <w:szCs w:val="24"/>
          <w:shd w:val="clear" w:color="auto" w:fill="FFFF66"/>
        </w:rPr>
        <w:t>charges</w:t>
      </w:r>
      <w:r w:rsidRPr="00815B2A">
        <w:rPr>
          <w:rFonts w:ascii="Calibri" w:eastAsia="Times New Roman" w:hAnsi="Calibri" w:cs="Calibri"/>
          <w:color w:val="1A1A1A"/>
          <w:sz w:val="24"/>
          <w:szCs w:val="24"/>
        </w:rPr>
        <w:t xml:space="preserve">, whether to be accrued or </w:t>
      </w:r>
      <w:proofErr w:type="spellStart"/>
      <w:r w:rsidRPr="00815B2A">
        <w:rPr>
          <w:rFonts w:ascii="Calibri" w:eastAsia="Times New Roman" w:hAnsi="Calibri" w:cs="Calibri"/>
          <w:color w:val="1A1A1A"/>
          <w:sz w:val="24"/>
          <w:szCs w:val="24"/>
        </w:rPr>
        <w:t>amortised</w:t>
      </w:r>
      <w:proofErr w:type="spellEnd"/>
      <w:r w:rsidRPr="00815B2A">
        <w:rPr>
          <w:rFonts w:ascii="Calibri" w:eastAsia="Times New Roman" w:hAnsi="Calibri" w:cs="Calibri"/>
          <w:color w:val="1A1A1A"/>
          <w:sz w:val="24"/>
          <w:szCs w:val="24"/>
        </w:rPr>
        <w:t xml:space="preserve">, and the period over which these are to be accrued or </w:t>
      </w:r>
      <w:proofErr w:type="spellStart"/>
      <w:r w:rsidRPr="00815B2A">
        <w:rPr>
          <w:rFonts w:ascii="Calibri" w:eastAsia="Times New Roman" w:hAnsi="Calibri" w:cs="Calibri"/>
          <w:color w:val="1A1A1A"/>
          <w:sz w:val="24"/>
          <w:szCs w:val="24"/>
        </w:rPr>
        <w:t>amortised</w:t>
      </w:r>
      <w:proofErr w:type="spellEnd"/>
      <w:r w:rsidRPr="00815B2A">
        <w:rPr>
          <w:rFonts w:ascii="Calibri" w:eastAsia="Times New Roman" w:hAnsi="Calibri" w:cs="Calibri"/>
          <w:color w:val="1A1A1A"/>
          <w:sz w:val="24"/>
          <w:szCs w:val="24"/>
        </w:rPr>
        <w:t>, etc., are defined in </w:t>
      </w:r>
      <w:r w:rsidRPr="00815B2A">
        <w:rPr>
          <w:rFonts w:ascii="Calibri" w:eastAsia="Times New Roman" w:hAnsi="Calibri" w:cs="Calibri"/>
          <w:i/>
          <w:iCs/>
          <w:color w:val="1A1A1A"/>
          <w:sz w:val="24"/>
          <w:szCs w:val="24"/>
        </w:rPr>
        <w:t>FT.COMMISSION.TYPE</w:t>
      </w:r>
      <w:r w:rsidRPr="00815B2A">
        <w:rPr>
          <w:rFonts w:ascii="Calibri" w:eastAsia="Times New Roman" w:hAnsi="Calibri" w:cs="Calibri"/>
          <w:color w:val="1A1A1A"/>
          <w:sz w:val="24"/>
          <w:szCs w:val="24"/>
        </w:rPr>
        <w:t>. </w:t>
      </w:r>
    </w:p>
    <w:p w:rsidR="00815B2A" w:rsidRPr="00815B2A" w:rsidRDefault="00815B2A" w:rsidP="00815B2A">
      <w:pPr>
        <w:spacing w:before="160" w:line="240" w:lineRule="auto"/>
        <w:ind w:firstLine="15"/>
        <w:jc w:val="center"/>
        <w:rPr>
          <w:rFonts w:ascii="Calibri" w:eastAsia="Times New Roman" w:hAnsi="Calibri" w:cs="Calibri"/>
          <w:color w:val="1A1A1A"/>
          <w:sz w:val="24"/>
          <w:szCs w:val="24"/>
        </w:rPr>
      </w:pPr>
      <w:r w:rsidRPr="00815B2A">
        <w:rPr>
          <w:rFonts w:ascii="Calibri" w:eastAsia="Times New Roman" w:hAnsi="Calibri" w:cs="Calibri"/>
          <w:noProof/>
          <w:color w:val="1A1A1A"/>
          <w:sz w:val="24"/>
          <w:szCs w:val="24"/>
        </w:rPr>
        <w:drawing>
          <wp:inline distT="0" distB="0" distL="0" distR="0">
            <wp:extent cx="5267325" cy="5419725"/>
            <wp:effectExtent l="0" t="0" r="9525" b="9525"/>
            <wp:docPr id="6" name="Picture 6" descr="D:\Temenos\R19 -Wiki\Subsystems\R19CorpUG\Content\Resources\Images\Corp\Page-21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emenos\R19 -Wiki\Subsystems\R19CorpUG\Content\Resources\Images\Corp\Page-2167.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67325" cy="5419725"/>
                    </a:xfrm>
                    <a:prstGeom prst="rect">
                      <a:avLst/>
                    </a:prstGeom>
                    <a:noFill/>
                    <a:ln>
                      <a:noFill/>
                    </a:ln>
                  </pic:spPr>
                </pic:pic>
              </a:graphicData>
            </a:graphic>
          </wp:inline>
        </w:drawing>
      </w:r>
    </w:p>
    <w:p w:rsidR="00815B2A" w:rsidRPr="00815B2A" w:rsidRDefault="00815B2A" w:rsidP="00815B2A">
      <w:pPr>
        <w:spacing w:before="160" w:line="240" w:lineRule="auto"/>
        <w:ind w:firstLine="150"/>
        <w:jc w:val="center"/>
        <w:rPr>
          <w:rFonts w:ascii="Calibri" w:eastAsia="Times New Roman" w:hAnsi="Calibri" w:cs="Calibri"/>
          <w:i/>
          <w:iCs/>
          <w:color w:val="1A1A1A"/>
          <w:sz w:val="24"/>
          <w:szCs w:val="24"/>
        </w:rPr>
      </w:pPr>
      <w:r w:rsidRPr="00815B2A">
        <w:rPr>
          <w:rFonts w:ascii="Calibri" w:eastAsia="Times New Roman" w:hAnsi="Calibri" w:cs="Calibri"/>
          <w:i/>
          <w:iCs/>
          <w:color w:val="1A1A1A"/>
          <w:sz w:val="24"/>
          <w:szCs w:val="24"/>
        </w:rPr>
        <w:t>FT.COMMISSION.TYPE</w:t>
      </w:r>
    </w:p>
    <w:p w:rsidR="00815B2A" w:rsidRPr="00815B2A" w:rsidRDefault="00815B2A" w:rsidP="00815B2A">
      <w:pPr>
        <w:spacing w:before="160" w:line="240" w:lineRule="auto"/>
        <w:ind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If no values are defined in the above fields then the accrual of charge will not take place and P&amp;L will be credited directly on the charge date.</w:t>
      </w:r>
    </w:p>
    <w:p w:rsidR="00815B2A" w:rsidRPr="00815B2A" w:rsidRDefault="00815B2A" w:rsidP="00815B2A">
      <w:pPr>
        <w:spacing w:before="160" w:line="240" w:lineRule="auto"/>
        <w:ind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 xml:space="preserve">When a charge where </w:t>
      </w:r>
      <w:proofErr w:type="spellStart"/>
      <w:r w:rsidRPr="00815B2A">
        <w:rPr>
          <w:rFonts w:ascii="Calibri" w:eastAsia="Times New Roman" w:hAnsi="Calibri" w:cs="Calibri"/>
          <w:color w:val="1A1A1A"/>
          <w:sz w:val="24"/>
          <w:szCs w:val="24"/>
        </w:rPr>
        <w:t>amortise</w:t>
      </w:r>
      <w:proofErr w:type="spellEnd"/>
      <w:r w:rsidRPr="00815B2A">
        <w:rPr>
          <w:rFonts w:ascii="Calibri" w:eastAsia="Times New Roman" w:hAnsi="Calibri" w:cs="Calibri"/>
          <w:color w:val="1A1A1A"/>
          <w:sz w:val="24"/>
          <w:szCs w:val="24"/>
        </w:rPr>
        <w:t xml:space="preserve"> or accrue is defined is attached to an MD contract, on </w:t>
      </w:r>
      <w:proofErr w:type="spellStart"/>
      <w:r w:rsidRPr="00815B2A">
        <w:rPr>
          <w:rFonts w:ascii="Calibri" w:eastAsia="Times New Roman" w:hAnsi="Calibri" w:cs="Calibri"/>
          <w:color w:val="1A1A1A"/>
          <w:sz w:val="24"/>
          <w:szCs w:val="24"/>
        </w:rPr>
        <w:t>authorisation</w:t>
      </w:r>
      <w:proofErr w:type="spellEnd"/>
      <w:r w:rsidRPr="00815B2A">
        <w:rPr>
          <w:rFonts w:ascii="Calibri" w:eastAsia="Times New Roman" w:hAnsi="Calibri" w:cs="Calibri"/>
          <w:color w:val="1A1A1A"/>
          <w:sz w:val="24"/>
          <w:szCs w:val="24"/>
        </w:rPr>
        <w:t xml:space="preserve"> the system creates a record in the </w:t>
      </w:r>
      <w:r w:rsidRPr="00815B2A">
        <w:rPr>
          <w:rFonts w:ascii="Calibri" w:eastAsia="Times New Roman" w:hAnsi="Calibri" w:cs="Calibri"/>
          <w:i/>
          <w:iCs/>
          <w:color w:val="1A1A1A"/>
          <w:sz w:val="24"/>
          <w:szCs w:val="24"/>
        </w:rPr>
        <w:t>EB.ACCRUAL </w:t>
      </w:r>
      <w:r w:rsidRPr="00815B2A">
        <w:rPr>
          <w:rFonts w:ascii="Calibri" w:eastAsia="Times New Roman" w:hAnsi="Calibri" w:cs="Calibri"/>
          <w:color w:val="1A1A1A"/>
          <w:sz w:val="24"/>
          <w:szCs w:val="24"/>
        </w:rPr>
        <w:t xml:space="preserve">application where all the details required by the core system to carry out the accrual process are updated. Further, Ids of all </w:t>
      </w:r>
      <w:r w:rsidRPr="00815B2A">
        <w:rPr>
          <w:rFonts w:ascii="Calibri" w:eastAsia="Times New Roman" w:hAnsi="Calibri" w:cs="Calibri"/>
          <w:color w:val="1A1A1A"/>
          <w:sz w:val="24"/>
          <w:szCs w:val="24"/>
        </w:rPr>
        <w:lastRenderedPageBreak/>
        <w:t>the </w:t>
      </w:r>
      <w:r w:rsidRPr="00815B2A">
        <w:rPr>
          <w:rFonts w:ascii="Calibri" w:eastAsia="Times New Roman" w:hAnsi="Calibri" w:cs="Calibri"/>
          <w:i/>
          <w:iCs/>
          <w:color w:val="1A1A1A"/>
          <w:sz w:val="24"/>
          <w:szCs w:val="24"/>
        </w:rPr>
        <w:t>EB.ACCRUAL </w:t>
      </w:r>
      <w:r w:rsidRPr="00815B2A">
        <w:rPr>
          <w:rFonts w:ascii="Calibri" w:eastAsia="Times New Roman" w:hAnsi="Calibri" w:cs="Calibri"/>
          <w:color w:val="1A1A1A"/>
          <w:sz w:val="24"/>
          <w:szCs w:val="24"/>
        </w:rPr>
        <w:t xml:space="preserve">records created for a contract are updated in a </w:t>
      </w:r>
      <w:proofErr w:type="spellStart"/>
      <w:r w:rsidRPr="00815B2A">
        <w:rPr>
          <w:rFonts w:ascii="Calibri" w:eastAsia="Times New Roman" w:hAnsi="Calibri" w:cs="Calibri"/>
          <w:color w:val="1A1A1A"/>
          <w:sz w:val="24"/>
          <w:szCs w:val="24"/>
        </w:rPr>
        <w:t>concat</w:t>
      </w:r>
      <w:proofErr w:type="spellEnd"/>
      <w:r w:rsidRPr="00815B2A">
        <w:rPr>
          <w:rFonts w:ascii="Calibri" w:eastAsia="Times New Roman" w:hAnsi="Calibri" w:cs="Calibri"/>
          <w:color w:val="1A1A1A"/>
          <w:sz w:val="24"/>
          <w:szCs w:val="24"/>
        </w:rPr>
        <w:t xml:space="preserve"> file called </w:t>
      </w:r>
      <w:r w:rsidRPr="00815B2A">
        <w:rPr>
          <w:rFonts w:ascii="Calibri" w:eastAsia="Times New Roman" w:hAnsi="Calibri" w:cs="Calibri"/>
          <w:i/>
          <w:iCs/>
          <w:color w:val="1A1A1A"/>
          <w:sz w:val="24"/>
          <w:szCs w:val="24"/>
        </w:rPr>
        <w:t>EB.ACCRUAL.CONCAT</w:t>
      </w:r>
      <w:r w:rsidRPr="00815B2A">
        <w:rPr>
          <w:rFonts w:ascii="Calibri" w:eastAsia="Times New Roman" w:hAnsi="Calibri" w:cs="Calibri"/>
          <w:color w:val="1A1A1A"/>
          <w:sz w:val="24"/>
          <w:szCs w:val="24"/>
        </w:rPr>
        <w:t>. </w:t>
      </w:r>
    </w:p>
    <w:p w:rsidR="00815B2A" w:rsidRPr="00815B2A" w:rsidRDefault="00815B2A" w:rsidP="00815B2A">
      <w:pPr>
        <w:spacing w:before="160" w:line="240" w:lineRule="auto"/>
        <w:ind w:firstLine="15"/>
        <w:jc w:val="center"/>
        <w:rPr>
          <w:rFonts w:ascii="Calibri" w:eastAsia="Times New Roman" w:hAnsi="Calibri" w:cs="Calibri"/>
          <w:color w:val="1A1A1A"/>
          <w:sz w:val="24"/>
          <w:szCs w:val="24"/>
        </w:rPr>
      </w:pPr>
      <w:r w:rsidRPr="00815B2A">
        <w:rPr>
          <w:rFonts w:ascii="Calibri" w:eastAsia="Times New Roman" w:hAnsi="Calibri" w:cs="Calibri"/>
          <w:noProof/>
          <w:color w:val="1A1A1A"/>
          <w:sz w:val="24"/>
          <w:szCs w:val="24"/>
        </w:rPr>
        <w:drawing>
          <wp:inline distT="0" distB="0" distL="0" distR="0">
            <wp:extent cx="5191125" cy="5114925"/>
            <wp:effectExtent l="0" t="0" r="9525" b="9525"/>
            <wp:docPr id="5" name="Picture 5" descr="D:\Temenos\R19 -Wiki\Subsystems\R19CorpUG\Content\Resources\Images\Corp\Page-21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Temenos\R19 -Wiki\Subsystems\R19CorpUG\Content\Resources\Images\Corp\Page-2168.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91125" cy="5114925"/>
                    </a:xfrm>
                    <a:prstGeom prst="rect">
                      <a:avLst/>
                    </a:prstGeom>
                    <a:noFill/>
                    <a:ln>
                      <a:noFill/>
                    </a:ln>
                  </pic:spPr>
                </pic:pic>
              </a:graphicData>
            </a:graphic>
          </wp:inline>
        </w:drawing>
      </w:r>
    </w:p>
    <w:p w:rsidR="00815B2A" w:rsidRPr="00815B2A" w:rsidRDefault="00815B2A" w:rsidP="00815B2A">
      <w:pPr>
        <w:spacing w:before="160" w:line="240" w:lineRule="auto"/>
        <w:ind w:firstLine="150"/>
        <w:jc w:val="center"/>
        <w:rPr>
          <w:rFonts w:ascii="Calibri" w:eastAsia="Times New Roman" w:hAnsi="Calibri" w:cs="Calibri"/>
          <w:i/>
          <w:iCs/>
          <w:color w:val="1A1A1A"/>
          <w:sz w:val="24"/>
          <w:szCs w:val="24"/>
        </w:rPr>
      </w:pPr>
      <w:r w:rsidRPr="00815B2A">
        <w:rPr>
          <w:rFonts w:ascii="Calibri" w:eastAsia="Times New Roman" w:hAnsi="Calibri" w:cs="Calibri"/>
          <w:i/>
          <w:iCs/>
          <w:color w:val="1A1A1A"/>
          <w:sz w:val="24"/>
          <w:szCs w:val="24"/>
        </w:rPr>
        <w:t>EB.ACCRUAL</w:t>
      </w:r>
    </w:p>
    <w:p w:rsidR="00815B2A" w:rsidRPr="00815B2A" w:rsidRDefault="00815B2A" w:rsidP="00815B2A">
      <w:pPr>
        <w:spacing w:before="160" w:line="240" w:lineRule="auto"/>
        <w:ind w:firstLine="15"/>
        <w:jc w:val="center"/>
        <w:rPr>
          <w:rFonts w:ascii="Calibri" w:eastAsia="Times New Roman" w:hAnsi="Calibri" w:cs="Calibri"/>
          <w:color w:val="1A1A1A"/>
          <w:sz w:val="24"/>
          <w:szCs w:val="24"/>
        </w:rPr>
      </w:pPr>
      <w:r w:rsidRPr="00815B2A">
        <w:rPr>
          <w:rFonts w:ascii="Calibri" w:eastAsia="Times New Roman" w:hAnsi="Calibri" w:cs="Calibri"/>
          <w:noProof/>
          <w:color w:val="1A1A1A"/>
          <w:sz w:val="24"/>
          <w:szCs w:val="24"/>
        </w:rPr>
        <w:drawing>
          <wp:inline distT="0" distB="0" distL="0" distR="0">
            <wp:extent cx="5753100" cy="1857375"/>
            <wp:effectExtent l="0" t="0" r="0" b="9525"/>
            <wp:docPr id="4" name="Picture 4" descr="D:\Temenos\R19 -Wiki\Subsystems\R19CorpUG\Content\Resources\Images\Corp\Page-22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Temenos\R19 -Wiki\Subsystems\R19CorpUG\Content\Resources\Images\Corp\Page-2220.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3100" cy="1857375"/>
                    </a:xfrm>
                    <a:prstGeom prst="rect">
                      <a:avLst/>
                    </a:prstGeom>
                    <a:noFill/>
                    <a:ln>
                      <a:noFill/>
                    </a:ln>
                  </pic:spPr>
                </pic:pic>
              </a:graphicData>
            </a:graphic>
          </wp:inline>
        </w:drawing>
      </w:r>
    </w:p>
    <w:p w:rsidR="00815B2A" w:rsidRPr="00815B2A" w:rsidRDefault="00815B2A" w:rsidP="00815B2A">
      <w:pPr>
        <w:spacing w:before="160" w:line="240" w:lineRule="auto"/>
        <w:ind w:firstLine="150"/>
        <w:jc w:val="center"/>
        <w:rPr>
          <w:rFonts w:ascii="Calibri" w:eastAsia="Times New Roman" w:hAnsi="Calibri" w:cs="Calibri"/>
          <w:i/>
          <w:iCs/>
          <w:color w:val="1A1A1A"/>
          <w:sz w:val="24"/>
          <w:szCs w:val="24"/>
        </w:rPr>
      </w:pPr>
      <w:r w:rsidRPr="00815B2A">
        <w:rPr>
          <w:rFonts w:ascii="Calibri" w:eastAsia="Times New Roman" w:hAnsi="Calibri" w:cs="Calibri"/>
          <w:i/>
          <w:iCs/>
          <w:color w:val="1A1A1A"/>
          <w:sz w:val="24"/>
          <w:szCs w:val="24"/>
        </w:rPr>
        <w:t>EB.ACCRUAL.CONCAT</w:t>
      </w:r>
    </w:p>
    <w:p w:rsidR="00815B2A" w:rsidRPr="00815B2A" w:rsidRDefault="00815B2A" w:rsidP="00815B2A">
      <w:pPr>
        <w:spacing w:before="160" w:line="240" w:lineRule="auto"/>
        <w:ind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lastRenderedPageBreak/>
        <w:t>The valid values that are accepted in the AMORTISN.PERIOD field in </w:t>
      </w:r>
      <w:r w:rsidRPr="00815B2A">
        <w:rPr>
          <w:rFonts w:ascii="Calibri" w:eastAsia="Times New Roman" w:hAnsi="Calibri" w:cs="Calibri"/>
          <w:i/>
          <w:iCs/>
          <w:color w:val="1A1A1A"/>
          <w:sz w:val="24"/>
          <w:szCs w:val="24"/>
        </w:rPr>
        <w:t>FT.COMMISSION.TYPE </w:t>
      </w:r>
      <w:r w:rsidRPr="00815B2A">
        <w:rPr>
          <w:rFonts w:ascii="Calibri" w:eastAsia="Times New Roman" w:hAnsi="Calibri" w:cs="Calibri"/>
          <w:color w:val="1A1A1A"/>
          <w:sz w:val="24"/>
          <w:szCs w:val="24"/>
        </w:rPr>
        <w:t>(FTC) that are defaulted in the field PERIOD in the </w:t>
      </w:r>
      <w:r w:rsidRPr="00815B2A">
        <w:rPr>
          <w:rFonts w:ascii="Calibri" w:eastAsia="Times New Roman" w:hAnsi="Calibri" w:cs="Calibri"/>
          <w:i/>
          <w:iCs/>
          <w:color w:val="1A1A1A"/>
          <w:sz w:val="24"/>
          <w:szCs w:val="24"/>
        </w:rPr>
        <w:t>EB.ACCRUAL </w:t>
      </w:r>
      <w:r w:rsidRPr="00815B2A">
        <w:rPr>
          <w:rFonts w:ascii="Calibri" w:eastAsia="Times New Roman" w:hAnsi="Calibri" w:cs="Calibri"/>
          <w:color w:val="1A1A1A"/>
          <w:sz w:val="24"/>
          <w:szCs w:val="24"/>
        </w:rPr>
        <w:t xml:space="preserve">record are "C" (Model Bank period), "R" (period between schedules), </w:t>
      </w:r>
      <w:proofErr w:type="spellStart"/>
      <w:r w:rsidRPr="00815B2A">
        <w:rPr>
          <w:rFonts w:ascii="Calibri" w:eastAsia="Times New Roman" w:hAnsi="Calibri" w:cs="Calibri"/>
          <w:color w:val="1A1A1A"/>
          <w:sz w:val="24"/>
          <w:szCs w:val="24"/>
        </w:rPr>
        <w:t>nM</w:t>
      </w:r>
      <w:proofErr w:type="spellEnd"/>
      <w:r w:rsidRPr="00815B2A">
        <w:rPr>
          <w:rFonts w:ascii="Calibri" w:eastAsia="Times New Roman" w:hAnsi="Calibri" w:cs="Calibri"/>
          <w:color w:val="1A1A1A"/>
          <w:sz w:val="24"/>
          <w:szCs w:val="24"/>
        </w:rPr>
        <w:t xml:space="preserve"> (number of months) and </w:t>
      </w:r>
      <w:proofErr w:type="spellStart"/>
      <w:r w:rsidRPr="00815B2A">
        <w:rPr>
          <w:rFonts w:ascii="Calibri" w:eastAsia="Times New Roman" w:hAnsi="Calibri" w:cs="Calibri"/>
          <w:color w:val="1A1A1A"/>
          <w:sz w:val="24"/>
          <w:szCs w:val="24"/>
        </w:rPr>
        <w:t>nA</w:t>
      </w:r>
      <w:proofErr w:type="spellEnd"/>
      <w:r w:rsidRPr="00815B2A">
        <w:rPr>
          <w:rFonts w:ascii="Calibri" w:eastAsia="Times New Roman" w:hAnsi="Calibri" w:cs="Calibri"/>
          <w:color w:val="1A1A1A"/>
          <w:sz w:val="24"/>
          <w:szCs w:val="24"/>
        </w:rPr>
        <w:t xml:space="preserve"> (number of years). The start date and end date of the </w:t>
      </w:r>
      <w:proofErr w:type="spellStart"/>
      <w:r w:rsidRPr="00815B2A">
        <w:rPr>
          <w:rFonts w:ascii="Calibri" w:eastAsia="Times New Roman" w:hAnsi="Calibri" w:cs="Calibri"/>
          <w:color w:val="1A1A1A"/>
          <w:sz w:val="24"/>
          <w:szCs w:val="24"/>
        </w:rPr>
        <w:t>amortisation</w:t>
      </w:r>
      <w:proofErr w:type="spellEnd"/>
      <w:r w:rsidRPr="00815B2A">
        <w:rPr>
          <w:rFonts w:ascii="Calibri" w:eastAsia="Times New Roman" w:hAnsi="Calibri" w:cs="Calibri"/>
          <w:color w:val="1A1A1A"/>
          <w:sz w:val="24"/>
          <w:szCs w:val="24"/>
        </w:rPr>
        <w:t xml:space="preserve"> or accrual depends on the value input in this field as detailed below:</w:t>
      </w:r>
    </w:p>
    <w:p w:rsidR="00815B2A" w:rsidRPr="00815B2A" w:rsidRDefault="00815B2A" w:rsidP="00815B2A">
      <w:pPr>
        <w:spacing w:before="160" w:line="240" w:lineRule="auto"/>
        <w:ind w:firstLine="15"/>
        <w:rPr>
          <w:rFonts w:ascii="Calibri" w:eastAsia="Times New Roman" w:hAnsi="Calibri" w:cs="Calibri"/>
          <w:color w:val="1A1A1A"/>
          <w:sz w:val="24"/>
          <w:szCs w:val="24"/>
        </w:rPr>
      </w:pPr>
      <w:r w:rsidRPr="00815B2A">
        <w:rPr>
          <w:rFonts w:ascii="Calibri" w:eastAsia="Times New Roman" w:hAnsi="Calibri" w:cs="Calibri"/>
          <w:b/>
          <w:bCs/>
          <w:color w:val="1A1A1A"/>
          <w:sz w:val="24"/>
          <w:szCs w:val="24"/>
        </w:rPr>
        <w:t>Table 1: Monthly or Yearly period is defined in FTC</w:t>
      </w:r>
    </w:p>
    <w:tbl>
      <w:tblPr>
        <w:tblW w:w="0" w:type="auto"/>
        <w:jc w:val="center"/>
        <w:tblBorders>
          <w:top w:val="single" w:sz="6" w:space="0" w:color="546C7F"/>
          <w:left w:val="single" w:sz="6" w:space="0" w:color="546C7F"/>
          <w:bottom w:val="single" w:sz="6" w:space="0" w:color="546C7F"/>
          <w:right w:val="single" w:sz="6" w:space="0" w:color="546C7F"/>
        </w:tblBorders>
        <w:tblCellMar>
          <w:left w:w="0" w:type="dxa"/>
          <w:right w:w="0" w:type="dxa"/>
        </w:tblCellMar>
        <w:tblLook w:val="04A0" w:firstRow="1" w:lastRow="0" w:firstColumn="1" w:lastColumn="0" w:noHBand="0" w:noVBand="1"/>
      </w:tblPr>
      <w:tblGrid>
        <w:gridCol w:w="3009"/>
        <w:gridCol w:w="2306"/>
        <w:gridCol w:w="1832"/>
        <w:gridCol w:w="2197"/>
      </w:tblGrid>
      <w:tr w:rsidR="00815B2A" w:rsidRPr="00815B2A" w:rsidTr="00815B2A">
        <w:trPr>
          <w:jc w:val="center"/>
        </w:trPr>
        <w:tc>
          <w:tcPr>
            <w:tcW w:w="2355" w:type="dxa"/>
            <w:vMerge w:val="restart"/>
            <w:tcBorders>
              <w:top w:val="outset" w:sz="6" w:space="0" w:color="auto"/>
              <w:left w:val="outset" w:sz="6" w:space="0" w:color="auto"/>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b/>
                <w:bCs/>
                <w:color w:val="1A1A1A"/>
                <w:sz w:val="24"/>
                <w:szCs w:val="24"/>
              </w:rPr>
              <w:t>Charge Date</w:t>
            </w:r>
          </w:p>
        </w:tc>
        <w:tc>
          <w:tcPr>
            <w:tcW w:w="2355" w:type="dxa"/>
            <w:vMerge w:val="restart"/>
            <w:tcBorders>
              <w:top w:val="outset" w:sz="6" w:space="0" w:color="auto"/>
              <w:left w:val="outset" w:sz="6" w:space="0" w:color="auto"/>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jc w:val="center"/>
              <w:rPr>
                <w:rFonts w:ascii="Calibri" w:eastAsia="Times New Roman" w:hAnsi="Calibri" w:cs="Calibri"/>
                <w:color w:val="1A1A1A"/>
                <w:sz w:val="24"/>
                <w:szCs w:val="24"/>
              </w:rPr>
            </w:pPr>
            <w:r w:rsidRPr="00815B2A">
              <w:rPr>
                <w:rFonts w:ascii="Calibri" w:eastAsia="Times New Roman" w:hAnsi="Calibri" w:cs="Calibri"/>
                <w:b/>
                <w:bCs/>
                <w:color w:val="1A1A1A"/>
                <w:sz w:val="24"/>
                <w:szCs w:val="24"/>
              </w:rPr>
              <w:t xml:space="preserve">Accrual (A) or </w:t>
            </w:r>
            <w:proofErr w:type="spellStart"/>
            <w:r w:rsidRPr="00815B2A">
              <w:rPr>
                <w:rFonts w:ascii="Calibri" w:eastAsia="Times New Roman" w:hAnsi="Calibri" w:cs="Calibri"/>
                <w:b/>
                <w:bCs/>
                <w:color w:val="1A1A1A"/>
                <w:sz w:val="24"/>
                <w:szCs w:val="24"/>
              </w:rPr>
              <w:t>Amortisation</w:t>
            </w:r>
            <w:proofErr w:type="spellEnd"/>
            <w:r w:rsidRPr="00815B2A">
              <w:rPr>
                <w:rFonts w:ascii="Calibri" w:eastAsia="Times New Roman" w:hAnsi="Calibri" w:cs="Calibri"/>
                <w:b/>
                <w:bCs/>
                <w:color w:val="1A1A1A"/>
                <w:sz w:val="24"/>
                <w:szCs w:val="24"/>
              </w:rPr>
              <w:t xml:space="preserve"> (M)  Processing</w:t>
            </w:r>
          </w:p>
        </w:tc>
        <w:tc>
          <w:tcPr>
            <w:tcW w:w="4710" w:type="dxa"/>
            <w:gridSpan w:val="2"/>
            <w:tcBorders>
              <w:top w:val="outset" w:sz="6" w:space="0" w:color="auto"/>
              <w:left w:val="outset" w:sz="6" w:space="0" w:color="auto"/>
              <w:bottom w:val="single" w:sz="6" w:space="0" w:color="546C7F"/>
              <w:right w:val="outset" w:sz="6" w:space="0" w:color="auto"/>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jc w:val="center"/>
              <w:rPr>
                <w:rFonts w:ascii="Calibri" w:eastAsia="Times New Roman" w:hAnsi="Calibri" w:cs="Calibri"/>
                <w:color w:val="1A1A1A"/>
                <w:sz w:val="24"/>
                <w:szCs w:val="24"/>
              </w:rPr>
            </w:pPr>
            <w:r w:rsidRPr="00815B2A">
              <w:rPr>
                <w:rFonts w:ascii="Calibri" w:eastAsia="Times New Roman" w:hAnsi="Calibri" w:cs="Calibri"/>
                <w:b/>
                <w:bCs/>
                <w:color w:val="1A1A1A"/>
                <w:sz w:val="24"/>
                <w:szCs w:val="24"/>
              </w:rPr>
              <w:t>AMORTISN.PERIOD = M / A</w:t>
            </w:r>
          </w:p>
        </w:tc>
      </w:tr>
      <w:tr w:rsidR="00815B2A" w:rsidRPr="00815B2A" w:rsidTr="00815B2A">
        <w:trPr>
          <w:jc w:val="center"/>
        </w:trPr>
        <w:tc>
          <w:tcPr>
            <w:tcW w:w="0" w:type="auto"/>
            <w:vMerge/>
            <w:tcBorders>
              <w:top w:val="outset" w:sz="6" w:space="0" w:color="auto"/>
              <w:left w:val="outset" w:sz="6" w:space="0" w:color="auto"/>
              <w:bottom w:val="single" w:sz="6" w:space="0" w:color="546C7F"/>
              <w:right w:val="single" w:sz="6" w:space="0" w:color="546C7F"/>
            </w:tcBorders>
            <w:tcMar>
              <w:top w:w="15" w:type="dxa"/>
              <w:left w:w="15" w:type="dxa"/>
              <w:bottom w:w="15" w:type="dxa"/>
              <w:right w:w="15" w:type="dxa"/>
            </w:tcMar>
            <w:vAlign w:val="center"/>
            <w:hideMark/>
          </w:tcPr>
          <w:p w:rsidR="00815B2A" w:rsidRPr="00815B2A" w:rsidRDefault="00815B2A" w:rsidP="00815B2A">
            <w:pPr>
              <w:spacing w:after="0" w:line="240" w:lineRule="auto"/>
              <w:rPr>
                <w:rFonts w:ascii="Calibri" w:eastAsia="Times New Roman" w:hAnsi="Calibri" w:cs="Calibri"/>
                <w:color w:val="1A1A1A"/>
                <w:sz w:val="24"/>
                <w:szCs w:val="24"/>
              </w:rPr>
            </w:pPr>
          </w:p>
        </w:tc>
        <w:tc>
          <w:tcPr>
            <w:tcW w:w="0" w:type="auto"/>
            <w:vMerge/>
            <w:tcBorders>
              <w:top w:val="outset" w:sz="6" w:space="0" w:color="auto"/>
              <w:left w:val="outset" w:sz="6" w:space="0" w:color="auto"/>
              <w:bottom w:val="single" w:sz="6" w:space="0" w:color="546C7F"/>
              <w:right w:val="single" w:sz="6" w:space="0" w:color="546C7F"/>
            </w:tcBorders>
            <w:tcMar>
              <w:top w:w="15" w:type="dxa"/>
              <w:left w:w="15" w:type="dxa"/>
              <w:bottom w:w="15" w:type="dxa"/>
              <w:right w:w="15" w:type="dxa"/>
            </w:tcMar>
            <w:vAlign w:val="center"/>
            <w:hideMark/>
          </w:tcPr>
          <w:p w:rsidR="00815B2A" w:rsidRPr="00815B2A" w:rsidRDefault="00815B2A" w:rsidP="00815B2A">
            <w:pPr>
              <w:spacing w:after="0" w:line="240" w:lineRule="auto"/>
              <w:rPr>
                <w:rFonts w:ascii="Calibri" w:eastAsia="Times New Roman" w:hAnsi="Calibri" w:cs="Calibri"/>
                <w:color w:val="1A1A1A"/>
                <w:sz w:val="24"/>
                <w:szCs w:val="24"/>
              </w:rPr>
            </w:pPr>
          </w:p>
        </w:tc>
        <w:tc>
          <w:tcPr>
            <w:tcW w:w="2355" w:type="dxa"/>
            <w:tcBorders>
              <w:top w:val="outset" w:sz="6" w:space="0" w:color="auto"/>
              <w:left w:val="outset" w:sz="6" w:space="0" w:color="auto"/>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jc w:val="center"/>
              <w:rPr>
                <w:rFonts w:ascii="Calibri" w:eastAsia="Times New Roman" w:hAnsi="Calibri" w:cs="Calibri"/>
                <w:color w:val="1A1A1A"/>
                <w:sz w:val="24"/>
                <w:szCs w:val="24"/>
              </w:rPr>
            </w:pPr>
            <w:r w:rsidRPr="00815B2A">
              <w:rPr>
                <w:rFonts w:ascii="Calibri" w:eastAsia="Times New Roman" w:hAnsi="Calibri" w:cs="Calibri"/>
                <w:b/>
                <w:bCs/>
                <w:color w:val="1A1A1A"/>
                <w:sz w:val="24"/>
                <w:szCs w:val="24"/>
              </w:rPr>
              <w:t>Start Date</w:t>
            </w:r>
          </w:p>
        </w:tc>
        <w:tc>
          <w:tcPr>
            <w:tcW w:w="2355" w:type="dxa"/>
            <w:tcBorders>
              <w:top w:val="outset" w:sz="6" w:space="0" w:color="auto"/>
              <w:left w:val="outset" w:sz="6" w:space="0" w:color="auto"/>
              <w:bottom w:val="single" w:sz="6" w:space="0" w:color="546C7F"/>
              <w:right w:val="outset" w:sz="6" w:space="0" w:color="auto"/>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jc w:val="center"/>
              <w:rPr>
                <w:rFonts w:ascii="Calibri" w:eastAsia="Times New Roman" w:hAnsi="Calibri" w:cs="Calibri"/>
                <w:color w:val="1A1A1A"/>
                <w:sz w:val="24"/>
                <w:szCs w:val="24"/>
              </w:rPr>
            </w:pPr>
            <w:r w:rsidRPr="00815B2A">
              <w:rPr>
                <w:rFonts w:ascii="Calibri" w:eastAsia="Times New Roman" w:hAnsi="Calibri" w:cs="Calibri"/>
                <w:b/>
                <w:bCs/>
                <w:color w:val="1A1A1A"/>
                <w:sz w:val="24"/>
                <w:szCs w:val="24"/>
              </w:rPr>
              <w:t>End Date</w:t>
            </w:r>
          </w:p>
        </w:tc>
      </w:tr>
      <w:tr w:rsidR="00815B2A" w:rsidRPr="00815B2A" w:rsidTr="00815B2A">
        <w:trPr>
          <w:jc w:val="center"/>
        </w:trPr>
        <w:tc>
          <w:tcPr>
            <w:tcW w:w="0" w:type="auto"/>
            <w:tcBorders>
              <w:top w:val="outset" w:sz="6" w:space="0" w:color="auto"/>
              <w:left w:val="outset" w:sz="6" w:space="0" w:color="auto"/>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 Value date</w:t>
            </w:r>
          </w:p>
        </w:tc>
        <w:tc>
          <w:tcPr>
            <w:tcW w:w="0" w:type="auto"/>
            <w:tcBorders>
              <w:top w:val="outset" w:sz="6" w:space="0" w:color="auto"/>
              <w:left w:val="outset" w:sz="6" w:space="0" w:color="auto"/>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proofErr w:type="spellStart"/>
            <w:r w:rsidRPr="00815B2A">
              <w:rPr>
                <w:rFonts w:ascii="Calibri" w:eastAsia="Times New Roman" w:hAnsi="Calibri" w:cs="Calibri"/>
                <w:color w:val="1A1A1A"/>
                <w:sz w:val="24"/>
                <w:szCs w:val="24"/>
              </w:rPr>
              <w:t>Amort</w:t>
            </w:r>
            <w:proofErr w:type="spellEnd"/>
            <w:r w:rsidRPr="00815B2A">
              <w:rPr>
                <w:rFonts w:ascii="Calibri" w:eastAsia="Times New Roman" w:hAnsi="Calibri" w:cs="Calibri"/>
                <w:color w:val="1A1A1A"/>
                <w:sz w:val="24"/>
                <w:szCs w:val="24"/>
              </w:rPr>
              <w:t xml:space="preserve"> Processing only</w:t>
            </w:r>
          </w:p>
        </w:tc>
        <w:tc>
          <w:tcPr>
            <w:tcW w:w="2355" w:type="dxa"/>
            <w:tcBorders>
              <w:top w:val="outset" w:sz="6" w:space="0" w:color="auto"/>
              <w:left w:val="outset" w:sz="6" w:space="0" w:color="auto"/>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Charge Date (i.e., the Value date)</w:t>
            </w:r>
          </w:p>
        </w:tc>
        <w:tc>
          <w:tcPr>
            <w:tcW w:w="2355" w:type="dxa"/>
            <w:tcBorders>
              <w:top w:val="outset" w:sz="6" w:space="0" w:color="auto"/>
              <w:left w:val="outset" w:sz="6" w:space="0" w:color="auto"/>
              <w:bottom w:val="single" w:sz="6" w:space="0" w:color="546C7F"/>
              <w:right w:val="outset" w:sz="6" w:space="0" w:color="auto"/>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Date as per the number of months, or Model Bank date,  whichever is earlier</w:t>
            </w:r>
          </w:p>
        </w:tc>
      </w:tr>
      <w:tr w:rsidR="00815B2A" w:rsidRPr="00815B2A" w:rsidTr="00815B2A">
        <w:trPr>
          <w:jc w:val="center"/>
        </w:trPr>
        <w:tc>
          <w:tcPr>
            <w:tcW w:w="0" w:type="auto"/>
            <w:tcBorders>
              <w:top w:val="outset" w:sz="6" w:space="0" w:color="auto"/>
              <w:left w:val="outset" w:sz="6" w:space="0" w:color="auto"/>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Model Bank date</w:t>
            </w:r>
          </w:p>
        </w:tc>
        <w:tc>
          <w:tcPr>
            <w:tcW w:w="0" w:type="auto"/>
            <w:tcBorders>
              <w:top w:val="outset" w:sz="6" w:space="0" w:color="auto"/>
              <w:left w:val="outset" w:sz="6" w:space="0" w:color="auto"/>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Accrual Processing only</w:t>
            </w:r>
          </w:p>
        </w:tc>
        <w:tc>
          <w:tcPr>
            <w:tcW w:w="2355" w:type="dxa"/>
            <w:tcBorders>
              <w:top w:val="outset" w:sz="6" w:space="0" w:color="auto"/>
              <w:left w:val="outset" w:sz="6" w:space="0" w:color="auto"/>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Date as per the number of months, or Value Date, whichever is later</w:t>
            </w:r>
          </w:p>
        </w:tc>
        <w:tc>
          <w:tcPr>
            <w:tcW w:w="2355" w:type="dxa"/>
            <w:tcBorders>
              <w:top w:val="outset" w:sz="6" w:space="0" w:color="auto"/>
              <w:left w:val="outset" w:sz="6" w:space="0" w:color="auto"/>
              <w:bottom w:val="single" w:sz="6" w:space="0" w:color="546C7F"/>
              <w:right w:val="outset" w:sz="6" w:space="0" w:color="auto"/>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Charge Date (i.e., the Model Bank date)</w:t>
            </w:r>
          </w:p>
        </w:tc>
      </w:tr>
      <w:tr w:rsidR="00815B2A" w:rsidRPr="00815B2A" w:rsidTr="00815B2A">
        <w:trPr>
          <w:jc w:val="center"/>
        </w:trPr>
        <w:tc>
          <w:tcPr>
            <w:tcW w:w="0" w:type="auto"/>
            <w:tcBorders>
              <w:top w:val="outset" w:sz="6" w:space="0" w:color="auto"/>
              <w:left w:val="outset" w:sz="6" w:space="0" w:color="auto"/>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Any date between Value date and Model Bank date</w:t>
            </w:r>
          </w:p>
        </w:tc>
        <w:tc>
          <w:tcPr>
            <w:tcW w:w="0" w:type="auto"/>
            <w:tcBorders>
              <w:top w:val="outset" w:sz="6" w:space="0" w:color="auto"/>
              <w:left w:val="outset" w:sz="6" w:space="0" w:color="auto"/>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Accrual processing</w:t>
            </w:r>
          </w:p>
        </w:tc>
        <w:tc>
          <w:tcPr>
            <w:tcW w:w="2355" w:type="dxa"/>
            <w:tcBorders>
              <w:top w:val="outset" w:sz="6" w:space="0" w:color="auto"/>
              <w:left w:val="outset" w:sz="6" w:space="0" w:color="auto"/>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Date as per the number of months, or Value Date, whichever is later</w:t>
            </w:r>
          </w:p>
        </w:tc>
        <w:tc>
          <w:tcPr>
            <w:tcW w:w="2355" w:type="dxa"/>
            <w:tcBorders>
              <w:top w:val="outset" w:sz="6" w:space="0" w:color="auto"/>
              <w:left w:val="outset" w:sz="6" w:space="0" w:color="auto"/>
              <w:bottom w:val="single" w:sz="6" w:space="0" w:color="546C7F"/>
              <w:right w:val="outset" w:sz="6" w:space="0" w:color="auto"/>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Charge Date</w:t>
            </w:r>
          </w:p>
        </w:tc>
      </w:tr>
      <w:tr w:rsidR="00815B2A" w:rsidRPr="00815B2A" w:rsidTr="00815B2A">
        <w:trPr>
          <w:jc w:val="center"/>
        </w:trPr>
        <w:tc>
          <w:tcPr>
            <w:tcW w:w="0" w:type="auto"/>
            <w:tcBorders>
              <w:top w:val="outset" w:sz="6" w:space="0" w:color="auto"/>
              <w:left w:val="outset" w:sz="6" w:space="0" w:color="auto"/>
              <w:bottom w:val="outset" w:sz="6" w:space="0" w:color="auto"/>
              <w:right w:val="single" w:sz="6" w:space="0" w:color="546C7F"/>
            </w:tcBorders>
            <w:tcMar>
              <w:top w:w="75" w:type="dxa"/>
              <w:left w:w="75" w:type="dxa"/>
              <w:bottom w:w="75" w:type="dxa"/>
              <w:right w:w="75" w:type="dxa"/>
            </w:tcMar>
            <w:hideMark/>
          </w:tcPr>
          <w:p w:rsidR="00815B2A" w:rsidRPr="00815B2A" w:rsidRDefault="00815B2A" w:rsidP="00815B2A">
            <w:pPr>
              <w:spacing w:after="0" w:line="240" w:lineRule="auto"/>
              <w:rPr>
                <w:rFonts w:ascii="Calibri" w:eastAsia="Times New Roman" w:hAnsi="Calibri" w:cs="Calibri"/>
                <w:color w:val="1A1A1A"/>
                <w:sz w:val="24"/>
                <w:szCs w:val="24"/>
              </w:rPr>
            </w:pPr>
          </w:p>
        </w:tc>
        <w:tc>
          <w:tcPr>
            <w:tcW w:w="0" w:type="auto"/>
            <w:tcBorders>
              <w:top w:val="outset" w:sz="6" w:space="0" w:color="auto"/>
              <w:left w:val="outset" w:sz="6" w:space="0" w:color="auto"/>
              <w:bottom w:val="outset" w:sz="6" w:space="0" w:color="auto"/>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proofErr w:type="spellStart"/>
            <w:r w:rsidRPr="00815B2A">
              <w:rPr>
                <w:rFonts w:ascii="Calibri" w:eastAsia="Times New Roman" w:hAnsi="Calibri" w:cs="Calibri"/>
                <w:color w:val="1A1A1A"/>
                <w:sz w:val="24"/>
                <w:szCs w:val="24"/>
              </w:rPr>
              <w:t>Amort</w:t>
            </w:r>
            <w:proofErr w:type="spellEnd"/>
            <w:r w:rsidRPr="00815B2A">
              <w:rPr>
                <w:rFonts w:ascii="Calibri" w:eastAsia="Times New Roman" w:hAnsi="Calibri" w:cs="Calibri"/>
                <w:color w:val="1A1A1A"/>
                <w:sz w:val="24"/>
                <w:szCs w:val="24"/>
              </w:rPr>
              <w:t xml:space="preserve"> processing</w:t>
            </w:r>
          </w:p>
        </w:tc>
        <w:tc>
          <w:tcPr>
            <w:tcW w:w="2355" w:type="dxa"/>
            <w:tcBorders>
              <w:top w:val="outset" w:sz="6" w:space="0" w:color="auto"/>
              <w:left w:val="outset" w:sz="6" w:space="0" w:color="auto"/>
              <w:bottom w:val="outset" w:sz="6" w:space="0" w:color="auto"/>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Charge Date</w:t>
            </w:r>
          </w:p>
        </w:tc>
        <w:tc>
          <w:tcPr>
            <w:tcW w:w="2355"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Date as per the number of months, or Model Bank date,  whichever is earlier</w:t>
            </w:r>
          </w:p>
        </w:tc>
      </w:tr>
    </w:tbl>
    <w:p w:rsidR="00815B2A" w:rsidRPr="00815B2A" w:rsidRDefault="00815B2A" w:rsidP="00815B2A">
      <w:pPr>
        <w:spacing w:before="160" w:line="240" w:lineRule="auto"/>
        <w:ind w:firstLine="15"/>
        <w:rPr>
          <w:rFonts w:ascii="Calibri" w:eastAsia="Times New Roman" w:hAnsi="Calibri" w:cs="Calibri"/>
          <w:color w:val="1A1A1A"/>
          <w:sz w:val="24"/>
          <w:szCs w:val="24"/>
        </w:rPr>
      </w:pPr>
      <w:r w:rsidRPr="00815B2A">
        <w:rPr>
          <w:rFonts w:ascii="Calibri" w:eastAsia="Times New Roman" w:hAnsi="Calibri" w:cs="Calibri"/>
          <w:b/>
          <w:bCs/>
          <w:color w:val="1A1A1A"/>
          <w:sz w:val="24"/>
          <w:szCs w:val="24"/>
        </w:rPr>
        <w:lastRenderedPageBreak/>
        <w:t>Table 2: Model Bank Period (C) or Period between Schedules (R) is defined in FTC.  However, as </w:t>
      </w:r>
      <w:r w:rsidRPr="00815B2A">
        <w:rPr>
          <w:rFonts w:ascii="Calibri" w:eastAsia="Times New Roman" w:hAnsi="Calibri" w:cs="Calibri"/>
          <w:b/>
          <w:bCs/>
          <w:color w:val="000000"/>
          <w:sz w:val="24"/>
          <w:szCs w:val="24"/>
          <w:shd w:val="clear" w:color="auto" w:fill="FFFF66"/>
        </w:rPr>
        <w:t>charges</w:t>
      </w:r>
      <w:r w:rsidRPr="00815B2A">
        <w:rPr>
          <w:rFonts w:ascii="Calibri" w:eastAsia="Times New Roman" w:hAnsi="Calibri" w:cs="Calibri"/>
          <w:b/>
          <w:bCs/>
          <w:color w:val="1A1A1A"/>
          <w:sz w:val="24"/>
          <w:szCs w:val="24"/>
        </w:rPr>
        <w:t> in MD are not linked to any schedule, "R" behaves as "C".</w:t>
      </w:r>
    </w:p>
    <w:tbl>
      <w:tblPr>
        <w:tblW w:w="0" w:type="auto"/>
        <w:jc w:val="center"/>
        <w:tblBorders>
          <w:top w:val="single" w:sz="6" w:space="0" w:color="546C7F"/>
          <w:left w:val="single" w:sz="6" w:space="0" w:color="546C7F"/>
          <w:bottom w:val="single" w:sz="6" w:space="0" w:color="546C7F"/>
          <w:right w:val="single" w:sz="6" w:space="0" w:color="546C7F"/>
        </w:tblBorders>
        <w:tblCellMar>
          <w:left w:w="0" w:type="dxa"/>
          <w:right w:w="0" w:type="dxa"/>
        </w:tblCellMar>
        <w:tblLook w:val="04A0" w:firstRow="1" w:lastRow="0" w:firstColumn="1" w:lastColumn="0" w:noHBand="0" w:noVBand="1"/>
      </w:tblPr>
      <w:tblGrid>
        <w:gridCol w:w="2334"/>
        <w:gridCol w:w="2343"/>
        <w:gridCol w:w="2334"/>
        <w:gridCol w:w="2333"/>
      </w:tblGrid>
      <w:tr w:rsidR="00815B2A" w:rsidRPr="00815B2A" w:rsidTr="00815B2A">
        <w:trPr>
          <w:jc w:val="center"/>
        </w:trPr>
        <w:tc>
          <w:tcPr>
            <w:tcW w:w="2355" w:type="dxa"/>
            <w:vMerge w:val="restart"/>
            <w:tcBorders>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jc w:val="center"/>
              <w:rPr>
                <w:rFonts w:ascii="Calibri" w:eastAsia="Times New Roman" w:hAnsi="Calibri" w:cs="Calibri"/>
                <w:color w:val="1A1A1A"/>
                <w:sz w:val="24"/>
                <w:szCs w:val="24"/>
              </w:rPr>
            </w:pPr>
            <w:r w:rsidRPr="00815B2A">
              <w:rPr>
                <w:rFonts w:ascii="Calibri" w:eastAsia="Times New Roman" w:hAnsi="Calibri" w:cs="Calibri"/>
                <w:b/>
                <w:bCs/>
                <w:color w:val="1A1A1A"/>
                <w:sz w:val="24"/>
                <w:szCs w:val="24"/>
              </w:rPr>
              <w:t>Charge Date</w:t>
            </w:r>
          </w:p>
        </w:tc>
        <w:tc>
          <w:tcPr>
            <w:tcW w:w="2355" w:type="dxa"/>
            <w:vMerge w:val="restart"/>
            <w:tcBorders>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jc w:val="center"/>
              <w:rPr>
                <w:rFonts w:ascii="Calibri" w:eastAsia="Times New Roman" w:hAnsi="Calibri" w:cs="Calibri"/>
                <w:color w:val="1A1A1A"/>
                <w:sz w:val="24"/>
                <w:szCs w:val="24"/>
              </w:rPr>
            </w:pPr>
            <w:r w:rsidRPr="00815B2A">
              <w:rPr>
                <w:rFonts w:ascii="Calibri" w:eastAsia="Times New Roman" w:hAnsi="Calibri" w:cs="Calibri"/>
                <w:b/>
                <w:bCs/>
                <w:color w:val="1A1A1A"/>
                <w:sz w:val="24"/>
                <w:szCs w:val="24"/>
              </w:rPr>
              <w:t xml:space="preserve">Accrual (A) or </w:t>
            </w:r>
            <w:proofErr w:type="spellStart"/>
            <w:r w:rsidRPr="00815B2A">
              <w:rPr>
                <w:rFonts w:ascii="Calibri" w:eastAsia="Times New Roman" w:hAnsi="Calibri" w:cs="Calibri"/>
                <w:b/>
                <w:bCs/>
                <w:color w:val="1A1A1A"/>
                <w:sz w:val="24"/>
                <w:szCs w:val="24"/>
              </w:rPr>
              <w:t>Amortisation</w:t>
            </w:r>
            <w:proofErr w:type="spellEnd"/>
            <w:r w:rsidRPr="00815B2A">
              <w:rPr>
                <w:rFonts w:ascii="Calibri" w:eastAsia="Times New Roman" w:hAnsi="Calibri" w:cs="Calibri"/>
                <w:b/>
                <w:bCs/>
                <w:color w:val="1A1A1A"/>
                <w:sz w:val="24"/>
                <w:szCs w:val="24"/>
              </w:rPr>
              <w:t xml:space="preserve"> (M) Processing</w:t>
            </w:r>
          </w:p>
        </w:tc>
        <w:tc>
          <w:tcPr>
            <w:tcW w:w="4710" w:type="dxa"/>
            <w:gridSpan w:val="2"/>
            <w:tcBorders>
              <w:bottom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jc w:val="center"/>
              <w:rPr>
                <w:rFonts w:ascii="Calibri" w:eastAsia="Times New Roman" w:hAnsi="Calibri" w:cs="Calibri"/>
                <w:color w:val="1A1A1A"/>
                <w:sz w:val="24"/>
                <w:szCs w:val="24"/>
              </w:rPr>
            </w:pPr>
            <w:r w:rsidRPr="00815B2A">
              <w:rPr>
                <w:rFonts w:ascii="Calibri" w:eastAsia="Times New Roman" w:hAnsi="Calibri" w:cs="Calibri"/>
                <w:b/>
                <w:bCs/>
                <w:color w:val="1A1A1A"/>
                <w:sz w:val="24"/>
                <w:szCs w:val="24"/>
              </w:rPr>
              <w:t>AMORTISN.PERIOD  = R / C</w:t>
            </w:r>
          </w:p>
        </w:tc>
      </w:tr>
      <w:tr w:rsidR="00815B2A" w:rsidRPr="00815B2A" w:rsidTr="00815B2A">
        <w:trPr>
          <w:jc w:val="center"/>
        </w:trPr>
        <w:tc>
          <w:tcPr>
            <w:tcW w:w="0" w:type="auto"/>
            <w:vMerge/>
            <w:tcBorders>
              <w:bottom w:val="single" w:sz="6" w:space="0" w:color="546C7F"/>
              <w:right w:val="single" w:sz="6" w:space="0" w:color="546C7F"/>
            </w:tcBorders>
            <w:tcMar>
              <w:top w:w="15" w:type="dxa"/>
              <w:left w:w="15" w:type="dxa"/>
              <w:bottom w:w="15" w:type="dxa"/>
              <w:right w:w="15" w:type="dxa"/>
            </w:tcMar>
            <w:vAlign w:val="center"/>
            <w:hideMark/>
          </w:tcPr>
          <w:p w:rsidR="00815B2A" w:rsidRPr="00815B2A" w:rsidRDefault="00815B2A" w:rsidP="00815B2A">
            <w:pPr>
              <w:spacing w:after="0" w:line="240" w:lineRule="auto"/>
              <w:rPr>
                <w:rFonts w:ascii="Calibri" w:eastAsia="Times New Roman" w:hAnsi="Calibri" w:cs="Calibri"/>
                <w:color w:val="1A1A1A"/>
                <w:sz w:val="24"/>
                <w:szCs w:val="24"/>
              </w:rPr>
            </w:pPr>
          </w:p>
        </w:tc>
        <w:tc>
          <w:tcPr>
            <w:tcW w:w="0" w:type="auto"/>
            <w:vMerge/>
            <w:tcBorders>
              <w:bottom w:val="single" w:sz="6" w:space="0" w:color="546C7F"/>
              <w:right w:val="single" w:sz="6" w:space="0" w:color="546C7F"/>
            </w:tcBorders>
            <w:tcMar>
              <w:top w:w="15" w:type="dxa"/>
              <w:left w:w="15" w:type="dxa"/>
              <w:bottom w:w="15" w:type="dxa"/>
              <w:right w:w="15" w:type="dxa"/>
            </w:tcMar>
            <w:vAlign w:val="center"/>
            <w:hideMark/>
          </w:tcPr>
          <w:p w:rsidR="00815B2A" w:rsidRPr="00815B2A" w:rsidRDefault="00815B2A" w:rsidP="00815B2A">
            <w:pPr>
              <w:spacing w:after="0" w:line="240" w:lineRule="auto"/>
              <w:rPr>
                <w:rFonts w:ascii="Calibri" w:eastAsia="Times New Roman" w:hAnsi="Calibri" w:cs="Calibri"/>
                <w:color w:val="1A1A1A"/>
                <w:sz w:val="24"/>
                <w:szCs w:val="24"/>
              </w:rPr>
            </w:pPr>
          </w:p>
        </w:tc>
        <w:tc>
          <w:tcPr>
            <w:tcW w:w="2355" w:type="dxa"/>
            <w:tcBorders>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jc w:val="center"/>
              <w:rPr>
                <w:rFonts w:ascii="Calibri" w:eastAsia="Times New Roman" w:hAnsi="Calibri" w:cs="Calibri"/>
                <w:color w:val="1A1A1A"/>
                <w:sz w:val="24"/>
                <w:szCs w:val="24"/>
              </w:rPr>
            </w:pPr>
            <w:r w:rsidRPr="00815B2A">
              <w:rPr>
                <w:rFonts w:ascii="Calibri" w:eastAsia="Times New Roman" w:hAnsi="Calibri" w:cs="Calibri"/>
                <w:b/>
                <w:bCs/>
                <w:color w:val="1A1A1A"/>
                <w:sz w:val="24"/>
                <w:szCs w:val="24"/>
              </w:rPr>
              <w:t>Start Date</w:t>
            </w:r>
          </w:p>
        </w:tc>
        <w:tc>
          <w:tcPr>
            <w:tcW w:w="2355" w:type="dxa"/>
            <w:tcBorders>
              <w:bottom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jc w:val="center"/>
              <w:rPr>
                <w:rFonts w:ascii="Calibri" w:eastAsia="Times New Roman" w:hAnsi="Calibri" w:cs="Calibri"/>
                <w:color w:val="1A1A1A"/>
                <w:sz w:val="24"/>
                <w:szCs w:val="24"/>
              </w:rPr>
            </w:pPr>
            <w:r w:rsidRPr="00815B2A">
              <w:rPr>
                <w:rFonts w:ascii="Calibri" w:eastAsia="Times New Roman" w:hAnsi="Calibri" w:cs="Calibri"/>
                <w:b/>
                <w:bCs/>
                <w:color w:val="1A1A1A"/>
                <w:sz w:val="24"/>
                <w:szCs w:val="24"/>
              </w:rPr>
              <w:t>End Date</w:t>
            </w:r>
          </w:p>
        </w:tc>
      </w:tr>
      <w:tr w:rsidR="00815B2A" w:rsidRPr="00815B2A" w:rsidTr="00815B2A">
        <w:trPr>
          <w:jc w:val="center"/>
        </w:trPr>
        <w:tc>
          <w:tcPr>
            <w:tcW w:w="2355" w:type="dxa"/>
            <w:tcBorders>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Value date</w:t>
            </w:r>
          </w:p>
        </w:tc>
        <w:tc>
          <w:tcPr>
            <w:tcW w:w="2355" w:type="dxa"/>
            <w:tcBorders>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proofErr w:type="spellStart"/>
            <w:r w:rsidRPr="00815B2A">
              <w:rPr>
                <w:rFonts w:ascii="Calibri" w:eastAsia="Times New Roman" w:hAnsi="Calibri" w:cs="Calibri"/>
                <w:color w:val="1A1A1A"/>
                <w:sz w:val="24"/>
                <w:szCs w:val="24"/>
              </w:rPr>
              <w:t>Amort</w:t>
            </w:r>
            <w:proofErr w:type="spellEnd"/>
            <w:r w:rsidRPr="00815B2A">
              <w:rPr>
                <w:rFonts w:ascii="Calibri" w:eastAsia="Times New Roman" w:hAnsi="Calibri" w:cs="Calibri"/>
                <w:color w:val="1A1A1A"/>
                <w:sz w:val="24"/>
                <w:szCs w:val="24"/>
              </w:rPr>
              <w:t xml:space="preserve"> Processing only</w:t>
            </w:r>
          </w:p>
        </w:tc>
        <w:tc>
          <w:tcPr>
            <w:tcW w:w="2355" w:type="dxa"/>
            <w:tcBorders>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Charge Date (i.e., the Value date)</w:t>
            </w:r>
          </w:p>
        </w:tc>
        <w:tc>
          <w:tcPr>
            <w:tcW w:w="2355" w:type="dxa"/>
            <w:tcBorders>
              <w:bottom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Model Bank Date</w:t>
            </w:r>
          </w:p>
        </w:tc>
      </w:tr>
      <w:tr w:rsidR="00815B2A" w:rsidRPr="00815B2A" w:rsidTr="00815B2A">
        <w:trPr>
          <w:jc w:val="center"/>
        </w:trPr>
        <w:tc>
          <w:tcPr>
            <w:tcW w:w="2355" w:type="dxa"/>
            <w:tcBorders>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Model Bank date</w:t>
            </w:r>
          </w:p>
        </w:tc>
        <w:tc>
          <w:tcPr>
            <w:tcW w:w="2355" w:type="dxa"/>
            <w:tcBorders>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Accrual Processing only</w:t>
            </w:r>
          </w:p>
        </w:tc>
        <w:tc>
          <w:tcPr>
            <w:tcW w:w="2355" w:type="dxa"/>
            <w:tcBorders>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Value Date</w:t>
            </w:r>
          </w:p>
        </w:tc>
        <w:tc>
          <w:tcPr>
            <w:tcW w:w="2355" w:type="dxa"/>
            <w:tcBorders>
              <w:bottom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Charge Date (i.e., the Model Bank date)</w:t>
            </w:r>
          </w:p>
        </w:tc>
      </w:tr>
      <w:tr w:rsidR="00815B2A" w:rsidRPr="00815B2A" w:rsidTr="00815B2A">
        <w:trPr>
          <w:jc w:val="center"/>
        </w:trPr>
        <w:tc>
          <w:tcPr>
            <w:tcW w:w="2355" w:type="dxa"/>
            <w:vMerge w:val="restart"/>
            <w:tcBorders>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Any date between Value date and Model Bank date</w:t>
            </w:r>
          </w:p>
        </w:tc>
        <w:tc>
          <w:tcPr>
            <w:tcW w:w="2355" w:type="dxa"/>
            <w:tcBorders>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Accrual processing</w:t>
            </w:r>
          </w:p>
        </w:tc>
        <w:tc>
          <w:tcPr>
            <w:tcW w:w="2355" w:type="dxa"/>
            <w:tcBorders>
              <w:bottom w:val="single" w:sz="6" w:space="0" w:color="546C7F"/>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Value Date</w:t>
            </w:r>
          </w:p>
        </w:tc>
        <w:tc>
          <w:tcPr>
            <w:tcW w:w="2355" w:type="dxa"/>
            <w:tcBorders>
              <w:bottom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Charge Date</w:t>
            </w:r>
          </w:p>
        </w:tc>
      </w:tr>
      <w:tr w:rsidR="00815B2A" w:rsidRPr="00815B2A" w:rsidTr="00815B2A">
        <w:trPr>
          <w:jc w:val="center"/>
        </w:trPr>
        <w:tc>
          <w:tcPr>
            <w:tcW w:w="0" w:type="auto"/>
            <w:vMerge/>
            <w:tcBorders>
              <w:bottom w:val="single" w:sz="6" w:space="0" w:color="546C7F"/>
              <w:right w:val="single" w:sz="6" w:space="0" w:color="546C7F"/>
            </w:tcBorders>
            <w:tcMar>
              <w:top w:w="15" w:type="dxa"/>
              <w:left w:w="15" w:type="dxa"/>
              <w:bottom w:w="15" w:type="dxa"/>
              <w:right w:w="15" w:type="dxa"/>
            </w:tcMar>
            <w:vAlign w:val="center"/>
            <w:hideMark/>
          </w:tcPr>
          <w:p w:rsidR="00815B2A" w:rsidRPr="00815B2A" w:rsidRDefault="00815B2A" w:rsidP="00815B2A">
            <w:pPr>
              <w:spacing w:after="0" w:line="240" w:lineRule="auto"/>
              <w:rPr>
                <w:rFonts w:ascii="Calibri" w:eastAsia="Times New Roman" w:hAnsi="Calibri" w:cs="Calibri"/>
                <w:color w:val="1A1A1A"/>
                <w:sz w:val="24"/>
                <w:szCs w:val="24"/>
              </w:rPr>
            </w:pPr>
          </w:p>
        </w:tc>
        <w:tc>
          <w:tcPr>
            <w:tcW w:w="2355" w:type="dxa"/>
            <w:tcBorders>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proofErr w:type="spellStart"/>
            <w:r w:rsidRPr="00815B2A">
              <w:rPr>
                <w:rFonts w:ascii="Calibri" w:eastAsia="Times New Roman" w:hAnsi="Calibri" w:cs="Calibri"/>
                <w:color w:val="1A1A1A"/>
                <w:sz w:val="24"/>
                <w:szCs w:val="24"/>
              </w:rPr>
              <w:t>Amort</w:t>
            </w:r>
            <w:proofErr w:type="spellEnd"/>
            <w:r w:rsidRPr="00815B2A">
              <w:rPr>
                <w:rFonts w:ascii="Calibri" w:eastAsia="Times New Roman" w:hAnsi="Calibri" w:cs="Calibri"/>
                <w:color w:val="1A1A1A"/>
                <w:sz w:val="24"/>
                <w:szCs w:val="24"/>
              </w:rPr>
              <w:t xml:space="preserve"> processing</w:t>
            </w:r>
          </w:p>
        </w:tc>
        <w:tc>
          <w:tcPr>
            <w:tcW w:w="2355" w:type="dxa"/>
            <w:tcBorders>
              <w:right w:val="single" w:sz="6" w:space="0" w:color="546C7F"/>
            </w:tcBorders>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Charge Date</w:t>
            </w:r>
          </w:p>
        </w:tc>
        <w:tc>
          <w:tcPr>
            <w:tcW w:w="2355" w:type="dxa"/>
            <w:tcMar>
              <w:top w:w="75" w:type="dxa"/>
              <w:left w:w="75" w:type="dxa"/>
              <w:bottom w:w="75" w:type="dxa"/>
              <w:right w:w="75" w:type="dxa"/>
            </w:tcMar>
            <w:hideMark/>
          </w:tcPr>
          <w:p w:rsidR="00815B2A" w:rsidRPr="00815B2A" w:rsidRDefault="00815B2A" w:rsidP="00815B2A">
            <w:pPr>
              <w:spacing w:before="160" w:line="240" w:lineRule="auto"/>
              <w:ind w:left="160" w:right="160"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Model Bank Date</w:t>
            </w:r>
          </w:p>
        </w:tc>
      </w:tr>
    </w:tbl>
    <w:p w:rsidR="00815B2A" w:rsidRPr="00815B2A" w:rsidRDefault="00815B2A" w:rsidP="00815B2A">
      <w:pPr>
        <w:spacing w:before="160" w:line="240" w:lineRule="auto"/>
        <w:ind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 xml:space="preserve">No accrual or </w:t>
      </w:r>
      <w:proofErr w:type="spellStart"/>
      <w:r w:rsidRPr="00815B2A">
        <w:rPr>
          <w:rFonts w:ascii="Calibri" w:eastAsia="Times New Roman" w:hAnsi="Calibri" w:cs="Calibri"/>
          <w:color w:val="1A1A1A"/>
          <w:sz w:val="24"/>
          <w:szCs w:val="24"/>
        </w:rPr>
        <w:t>amortisation</w:t>
      </w:r>
      <w:proofErr w:type="spellEnd"/>
      <w:r w:rsidRPr="00815B2A">
        <w:rPr>
          <w:rFonts w:ascii="Calibri" w:eastAsia="Times New Roman" w:hAnsi="Calibri" w:cs="Calibri"/>
          <w:color w:val="1A1A1A"/>
          <w:sz w:val="24"/>
          <w:szCs w:val="24"/>
        </w:rPr>
        <w:t xml:space="preserve"> of charge will take place if the amount of charge is less than or equal to the ACCRUAL.MIN.AMT in </w:t>
      </w:r>
      <w:r w:rsidRPr="00815B2A">
        <w:rPr>
          <w:rFonts w:ascii="Calibri" w:eastAsia="Times New Roman" w:hAnsi="Calibri" w:cs="Calibri"/>
          <w:i/>
          <w:iCs/>
          <w:color w:val="1A1A1A"/>
          <w:sz w:val="24"/>
          <w:szCs w:val="24"/>
        </w:rPr>
        <w:t>FT.COMMISSION.TYPE, </w:t>
      </w:r>
      <w:r w:rsidRPr="00815B2A">
        <w:rPr>
          <w:rFonts w:ascii="Calibri" w:eastAsia="Times New Roman" w:hAnsi="Calibri" w:cs="Calibri"/>
          <w:color w:val="1A1A1A"/>
          <w:sz w:val="24"/>
          <w:szCs w:val="24"/>
        </w:rPr>
        <w:t>and P&amp;L will be credited directly.</w:t>
      </w:r>
    </w:p>
    <w:p w:rsidR="00815B2A" w:rsidRPr="00815B2A" w:rsidRDefault="00815B2A" w:rsidP="00815B2A">
      <w:pPr>
        <w:spacing w:before="160" w:line="240" w:lineRule="auto"/>
        <w:ind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 xml:space="preserve">If a charge where </w:t>
      </w:r>
      <w:proofErr w:type="spellStart"/>
      <w:r w:rsidRPr="00815B2A">
        <w:rPr>
          <w:rFonts w:ascii="Calibri" w:eastAsia="Times New Roman" w:hAnsi="Calibri" w:cs="Calibri"/>
          <w:color w:val="1A1A1A"/>
          <w:sz w:val="24"/>
          <w:szCs w:val="24"/>
        </w:rPr>
        <w:t>amortisation</w:t>
      </w:r>
      <w:proofErr w:type="spellEnd"/>
      <w:r w:rsidRPr="00815B2A">
        <w:rPr>
          <w:rFonts w:ascii="Calibri" w:eastAsia="Times New Roman" w:hAnsi="Calibri" w:cs="Calibri"/>
          <w:color w:val="1A1A1A"/>
          <w:sz w:val="24"/>
          <w:szCs w:val="24"/>
        </w:rPr>
        <w:t xml:space="preserve"> is defined is attached to </w:t>
      </w:r>
      <w:r w:rsidRPr="00815B2A">
        <w:rPr>
          <w:rFonts w:ascii="Calibri" w:eastAsia="Times New Roman" w:hAnsi="Calibri" w:cs="Calibri"/>
          <w:i/>
          <w:iCs/>
          <w:color w:val="1A1A1A"/>
          <w:sz w:val="24"/>
          <w:szCs w:val="24"/>
        </w:rPr>
        <w:t>MD, </w:t>
      </w:r>
      <w:r w:rsidRPr="00815B2A">
        <w:rPr>
          <w:rFonts w:ascii="Calibri" w:eastAsia="Times New Roman" w:hAnsi="Calibri" w:cs="Calibri"/>
          <w:color w:val="1A1A1A"/>
          <w:sz w:val="24"/>
          <w:szCs w:val="24"/>
        </w:rPr>
        <w:t xml:space="preserve">and the charge date is the Model Bank date of the contract, then no </w:t>
      </w:r>
      <w:proofErr w:type="spellStart"/>
      <w:r w:rsidRPr="00815B2A">
        <w:rPr>
          <w:rFonts w:ascii="Calibri" w:eastAsia="Times New Roman" w:hAnsi="Calibri" w:cs="Calibri"/>
          <w:color w:val="1A1A1A"/>
          <w:sz w:val="24"/>
          <w:szCs w:val="24"/>
        </w:rPr>
        <w:t>amortisation</w:t>
      </w:r>
      <w:proofErr w:type="spellEnd"/>
      <w:r w:rsidRPr="00815B2A">
        <w:rPr>
          <w:rFonts w:ascii="Calibri" w:eastAsia="Times New Roman" w:hAnsi="Calibri" w:cs="Calibri"/>
          <w:color w:val="1A1A1A"/>
          <w:sz w:val="24"/>
          <w:szCs w:val="24"/>
        </w:rPr>
        <w:t xml:space="preserve"> of charge will take place, and P&amp;L will be credited directly on the charge date, i.e., Model Bank date. In the same way, if a charge where accrue is defined is attached to </w:t>
      </w:r>
      <w:r w:rsidRPr="00815B2A">
        <w:rPr>
          <w:rFonts w:ascii="Calibri" w:eastAsia="Times New Roman" w:hAnsi="Calibri" w:cs="Calibri"/>
          <w:i/>
          <w:iCs/>
          <w:color w:val="1A1A1A"/>
          <w:sz w:val="24"/>
          <w:szCs w:val="24"/>
        </w:rPr>
        <w:t>MD </w:t>
      </w:r>
      <w:r w:rsidRPr="00815B2A">
        <w:rPr>
          <w:rFonts w:ascii="Calibri" w:eastAsia="Times New Roman" w:hAnsi="Calibri" w:cs="Calibri"/>
          <w:color w:val="1A1A1A"/>
          <w:sz w:val="24"/>
          <w:szCs w:val="24"/>
        </w:rPr>
        <w:t>and the charge date is the value date of the contract, then no accrual of charge will take place, and P&amp;L will be credited directly on the charge date, i.e., value date.</w:t>
      </w:r>
    </w:p>
    <w:p w:rsidR="00815B2A" w:rsidRPr="00815B2A" w:rsidRDefault="00815B2A" w:rsidP="00815B2A">
      <w:pPr>
        <w:spacing w:before="160" w:line="240" w:lineRule="auto"/>
        <w:ind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 xml:space="preserve">If the charge currency is different from the deal currency then no </w:t>
      </w:r>
      <w:proofErr w:type="spellStart"/>
      <w:r w:rsidRPr="00815B2A">
        <w:rPr>
          <w:rFonts w:ascii="Calibri" w:eastAsia="Times New Roman" w:hAnsi="Calibri" w:cs="Calibri"/>
          <w:color w:val="1A1A1A"/>
          <w:sz w:val="24"/>
          <w:szCs w:val="24"/>
        </w:rPr>
        <w:t>amortisation</w:t>
      </w:r>
      <w:proofErr w:type="spellEnd"/>
      <w:r w:rsidRPr="00815B2A">
        <w:rPr>
          <w:rFonts w:ascii="Calibri" w:eastAsia="Times New Roman" w:hAnsi="Calibri" w:cs="Calibri"/>
          <w:color w:val="1A1A1A"/>
          <w:sz w:val="24"/>
          <w:szCs w:val="24"/>
        </w:rPr>
        <w:t xml:space="preserve"> or accrual of charge will take place even if the same is defined, and P&amp;L will be credited directly on the charge date.</w:t>
      </w:r>
    </w:p>
    <w:p w:rsidR="00815B2A" w:rsidRPr="00815B2A" w:rsidRDefault="00815B2A" w:rsidP="00815B2A">
      <w:pPr>
        <w:spacing w:before="160" w:line="240" w:lineRule="auto"/>
        <w:ind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During the tenure of the accrual of a charge, if the amount to be charged is amended in </w:t>
      </w:r>
      <w:r w:rsidRPr="00815B2A">
        <w:rPr>
          <w:rFonts w:ascii="Calibri" w:eastAsia="Times New Roman" w:hAnsi="Calibri" w:cs="Calibri"/>
          <w:i/>
          <w:iCs/>
          <w:color w:val="1A1A1A"/>
          <w:sz w:val="24"/>
          <w:szCs w:val="24"/>
        </w:rPr>
        <w:t>FT.COMMISSION.TYPE</w:t>
      </w:r>
      <w:r w:rsidRPr="00815B2A">
        <w:rPr>
          <w:rFonts w:ascii="Calibri" w:eastAsia="Times New Roman" w:hAnsi="Calibri" w:cs="Calibri"/>
          <w:color w:val="1A1A1A"/>
          <w:sz w:val="24"/>
          <w:szCs w:val="24"/>
        </w:rPr>
        <w:t>, there will be no impact on the amount of the charge that is being accrued unless the user revisits the </w:t>
      </w:r>
      <w:r w:rsidRPr="00815B2A">
        <w:rPr>
          <w:rFonts w:ascii="Calibri" w:eastAsia="Times New Roman" w:hAnsi="Calibri" w:cs="Calibri"/>
          <w:i/>
          <w:iCs/>
          <w:color w:val="1A1A1A"/>
          <w:sz w:val="24"/>
          <w:szCs w:val="24"/>
        </w:rPr>
        <w:t>MD </w:t>
      </w:r>
      <w:r w:rsidRPr="00815B2A">
        <w:rPr>
          <w:rFonts w:ascii="Calibri" w:eastAsia="Times New Roman" w:hAnsi="Calibri" w:cs="Calibri"/>
          <w:color w:val="1A1A1A"/>
          <w:sz w:val="24"/>
          <w:szCs w:val="24"/>
        </w:rPr>
        <w:t>contract and makes an </w:t>
      </w:r>
      <w:hyperlink r:id="rId7" w:history="1">
        <w:r w:rsidRPr="00815B2A">
          <w:rPr>
            <w:rFonts w:ascii="Calibri" w:eastAsia="Times New Roman" w:hAnsi="Calibri" w:cs="Calibri"/>
            <w:b/>
            <w:bCs/>
            <w:color w:val="808000"/>
            <w:sz w:val="24"/>
            <w:szCs w:val="24"/>
            <w:u w:val="single"/>
          </w:rPr>
          <w:t>amendment</w:t>
        </w:r>
      </w:hyperlink>
      <w:r w:rsidRPr="00815B2A">
        <w:rPr>
          <w:rFonts w:ascii="Calibri" w:eastAsia="Times New Roman" w:hAnsi="Calibri" w:cs="Calibri"/>
          <w:color w:val="1A1A1A"/>
          <w:sz w:val="24"/>
          <w:szCs w:val="24"/>
        </w:rPr>
        <w:t> to the charge amount either by deleting the existing value or inputting a new value.</w:t>
      </w:r>
    </w:p>
    <w:p w:rsidR="00815B2A" w:rsidRPr="00815B2A" w:rsidRDefault="00815B2A" w:rsidP="00815B2A">
      <w:pPr>
        <w:spacing w:before="160" w:line="240" w:lineRule="auto"/>
        <w:ind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If a tax is attached to the charge no accrual will take place for the tax amount. On the charge date, the tax amount will be collected along with the charge amount, and the internal account defined for tax will be credited.</w:t>
      </w:r>
    </w:p>
    <w:p w:rsidR="00815B2A" w:rsidRPr="00815B2A" w:rsidRDefault="00815B2A" w:rsidP="00815B2A">
      <w:pPr>
        <w:spacing w:before="160" w:line="240" w:lineRule="auto"/>
        <w:ind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lastRenderedPageBreak/>
        <w:t>It is also possible to reverse the accrual posted up to yesterday, and raise a new accrual till the next working day by defining the PL categories for which the reversal of accrual should take place in the </w:t>
      </w:r>
      <w:r w:rsidRPr="00815B2A">
        <w:rPr>
          <w:rFonts w:ascii="Calibri" w:eastAsia="Times New Roman" w:hAnsi="Calibri" w:cs="Calibri"/>
          <w:i/>
          <w:iCs/>
          <w:color w:val="1A1A1A"/>
          <w:sz w:val="24"/>
          <w:szCs w:val="24"/>
        </w:rPr>
        <w:t>ACCR.REV.PARAM </w:t>
      </w:r>
      <w:r w:rsidRPr="00815B2A">
        <w:rPr>
          <w:rFonts w:ascii="Calibri" w:eastAsia="Times New Roman" w:hAnsi="Calibri" w:cs="Calibri"/>
          <w:color w:val="1A1A1A"/>
          <w:sz w:val="24"/>
          <w:szCs w:val="24"/>
        </w:rPr>
        <w:t>record.</w:t>
      </w:r>
    </w:p>
    <w:p w:rsidR="00815B2A" w:rsidRPr="00815B2A" w:rsidRDefault="00815B2A" w:rsidP="00815B2A">
      <w:pPr>
        <w:spacing w:before="160" w:line="240" w:lineRule="auto"/>
        <w:ind w:firstLine="15"/>
        <w:jc w:val="center"/>
        <w:rPr>
          <w:rFonts w:ascii="Calibri" w:eastAsia="Times New Roman" w:hAnsi="Calibri" w:cs="Calibri"/>
          <w:color w:val="1A1A1A"/>
          <w:sz w:val="24"/>
          <w:szCs w:val="24"/>
        </w:rPr>
      </w:pPr>
      <w:r w:rsidRPr="00815B2A">
        <w:rPr>
          <w:rFonts w:ascii="Calibri" w:eastAsia="Times New Roman" w:hAnsi="Calibri" w:cs="Calibri"/>
          <w:noProof/>
          <w:color w:val="1A1A1A"/>
          <w:sz w:val="24"/>
          <w:szCs w:val="24"/>
        </w:rPr>
        <w:drawing>
          <wp:inline distT="0" distB="0" distL="0" distR="0">
            <wp:extent cx="4876800" cy="3514725"/>
            <wp:effectExtent l="0" t="0" r="0" b="9525"/>
            <wp:docPr id="3" name="Picture 3" descr="D:\Temenos\R19 -Wiki\Subsystems\R19CorpUG\Content\Resources\Images\Corp\Page-2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Temenos\R19 -Wiki\Subsystems\R19CorpUG\Content\Resources\Images\Corp\Page-216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3514725"/>
                    </a:xfrm>
                    <a:prstGeom prst="rect">
                      <a:avLst/>
                    </a:prstGeom>
                    <a:noFill/>
                    <a:ln>
                      <a:noFill/>
                    </a:ln>
                  </pic:spPr>
                </pic:pic>
              </a:graphicData>
            </a:graphic>
          </wp:inline>
        </w:drawing>
      </w:r>
    </w:p>
    <w:p w:rsidR="00815B2A" w:rsidRPr="00815B2A" w:rsidRDefault="00815B2A" w:rsidP="00815B2A">
      <w:pPr>
        <w:spacing w:before="160" w:line="240" w:lineRule="auto"/>
        <w:ind w:firstLine="150"/>
        <w:jc w:val="center"/>
        <w:rPr>
          <w:rFonts w:ascii="Calibri" w:eastAsia="Times New Roman" w:hAnsi="Calibri" w:cs="Calibri"/>
          <w:i/>
          <w:iCs/>
          <w:color w:val="1A1A1A"/>
          <w:sz w:val="24"/>
          <w:szCs w:val="24"/>
        </w:rPr>
      </w:pPr>
      <w:r w:rsidRPr="00815B2A">
        <w:rPr>
          <w:rFonts w:ascii="Calibri" w:eastAsia="Times New Roman" w:hAnsi="Calibri" w:cs="Calibri"/>
          <w:i/>
          <w:iCs/>
          <w:color w:val="1A1A1A"/>
          <w:sz w:val="24"/>
          <w:szCs w:val="24"/>
        </w:rPr>
        <w:t>ACCR.REV.PARAM</w:t>
      </w:r>
    </w:p>
    <w:p w:rsidR="00815B2A" w:rsidRPr="00815B2A" w:rsidRDefault="00815B2A" w:rsidP="00815B2A">
      <w:pPr>
        <w:spacing w:before="160" w:line="240" w:lineRule="auto"/>
        <w:ind w:firstLine="15"/>
        <w:rPr>
          <w:rFonts w:ascii="Calibri" w:eastAsia="Times New Roman" w:hAnsi="Calibri" w:cs="Calibri"/>
          <w:color w:val="1A1A1A"/>
          <w:sz w:val="24"/>
          <w:szCs w:val="24"/>
        </w:rPr>
      </w:pPr>
      <w:r w:rsidRPr="00815B2A">
        <w:rPr>
          <w:rFonts w:ascii="Calibri" w:eastAsia="Times New Roman" w:hAnsi="Calibri" w:cs="Calibri"/>
          <w:color w:val="1A1A1A"/>
          <w:sz w:val="24"/>
          <w:szCs w:val="24"/>
        </w:rPr>
        <w:t xml:space="preserve">The system can also </w:t>
      </w:r>
      <w:proofErr w:type="spellStart"/>
      <w:r w:rsidRPr="00815B2A">
        <w:rPr>
          <w:rFonts w:ascii="Calibri" w:eastAsia="Times New Roman" w:hAnsi="Calibri" w:cs="Calibri"/>
          <w:color w:val="1A1A1A"/>
          <w:sz w:val="24"/>
          <w:szCs w:val="24"/>
        </w:rPr>
        <w:t>amortise</w:t>
      </w:r>
      <w:proofErr w:type="spellEnd"/>
      <w:r w:rsidRPr="00815B2A">
        <w:rPr>
          <w:rFonts w:ascii="Calibri" w:eastAsia="Times New Roman" w:hAnsi="Calibri" w:cs="Calibri"/>
          <w:color w:val="1A1A1A"/>
          <w:sz w:val="24"/>
          <w:szCs w:val="24"/>
        </w:rPr>
        <w:t xml:space="preserve"> the charge, collected in a foreign currency, in the local currency by setting the field AMORT.IN.LOCAL to "YES" in </w:t>
      </w:r>
      <w:r w:rsidRPr="00815B2A">
        <w:rPr>
          <w:rFonts w:ascii="Calibri" w:eastAsia="Times New Roman" w:hAnsi="Calibri" w:cs="Calibri"/>
          <w:i/>
          <w:iCs/>
          <w:color w:val="1A1A1A"/>
          <w:sz w:val="24"/>
          <w:szCs w:val="24"/>
        </w:rPr>
        <w:t>ACCOUNT .PARAMETER</w:t>
      </w:r>
      <w:r w:rsidRPr="00815B2A">
        <w:rPr>
          <w:rFonts w:ascii="Calibri" w:eastAsia="Times New Roman" w:hAnsi="Calibri" w:cs="Calibri"/>
          <w:color w:val="1A1A1A"/>
          <w:sz w:val="24"/>
          <w:szCs w:val="24"/>
        </w:rPr>
        <w:t>. In such cases the CONTRACT.BAL.ID field in the </w:t>
      </w:r>
      <w:r w:rsidRPr="00815B2A">
        <w:rPr>
          <w:rFonts w:ascii="Calibri" w:eastAsia="Times New Roman" w:hAnsi="Calibri" w:cs="Calibri"/>
          <w:i/>
          <w:iCs/>
          <w:color w:val="1A1A1A"/>
          <w:sz w:val="24"/>
          <w:szCs w:val="24"/>
        </w:rPr>
        <w:t>EB.ACCRUAL </w:t>
      </w:r>
      <w:r w:rsidRPr="00815B2A">
        <w:rPr>
          <w:rFonts w:ascii="Calibri" w:eastAsia="Times New Roman" w:hAnsi="Calibri" w:cs="Calibri"/>
          <w:color w:val="1A1A1A"/>
          <w:sz w:val="24"/>
          <w:szCs w:val="24"/>
        </w:rPr>
        <w:t>record will be updated with Contract ID:"LOCAL",</w:t>
      </w:r>
      <w:proofErr w:type="gramStart"/>
      <w:r w:rsidRPr="00815B2A">
        <w:rPr>
          <w:rFonts w:ascii="Calibri" w:eastAsia="Times New Roman" w:hAnsi="Calibri" w:cs="Calibri"/>
          <w:color w:val="1A1A1A"/>
          <w:sz w:val="24"/>
          <w:szCs w:val="24"/>
        </w:rPr>
        <w:t>  and</w:t>
      </w:r>
      <w:proofErr w:type="gramEnd"/>
      <w:r w:rsidRPr="00815B2A">
        <w:rPr>
          <w:rFonts w:ascii="Calibri" w:eastAsia="Times New Roman" w:hAnsi="Calibri" w:cs="Calibri"/>
          <w:color w:val="1A1A1A"/>
          <w:sz w:val="24"/>
          <w:szCs w:val="24"/>
        </w:rPr>
        <w:t> a </w:t>
      </w:r>
      <w:r w:rsidRPr="00815B2A">
        <w:rPr>
          <w:rFonts w:ascii="Calibri" w:eastAsia="Times New Roman" w:hAnsi="Calibri" w:cs="Calibri"/>
          <w:i/>
          <w:iCs/>
          <w:color w:val="1A1A1A"/>
          <w:sz w:val="24"/>
          <w:szCs w:val="24"/>
        </w:rPr>
        <w:t>EB.CONTRACT.BALANCES </w:t>
      </w:r>
      <w:r w:rsidRPr="00815B2A">
        <w:rPr>
          <w:rFonts w:ascii="Calibri" w:eastAsia="Times New Roman" w:hAnsi="Calibri" w:cs="Calibri"/>
          <w:color w:val="1A1A1A"/>
          <w:sz w:val="24"/>
          <w:szCs w:val="24"/>
        </w:rPr>
        <w:t>record with Id as Contract ID:"LOCAL" will be created. However, </w:t>
      </w:r>
      <w:r w:rsidRPr="00815B2A">
        <w:rPr>
          <w:rFonts w:ascii="Calibri" w:eastAsia="Times New Roman" w:hAnsi="Calibri" w:cs="Calibri"/>
          <w:color w:val="000000"/>
          <w:sz w:val="24"/>
          <w:szCs w:val="24"/>
          <w:shd w:val="clear" w:color="auto" w:fill="FFFF66"/>
        </w:rPr>
        <w:t>charges</w:t>
      </w:r>
      <w:r w:rsidRPr="00815B2A">
        <w:rPr>
          <w:rFonts w:ascii="Calibri" w:eastAsia="Times New Roman" w:hAnsi="Calibri" w:cs="Calibri"/>
          <w:color w:val="1A1A1A"/>
          <w:sz w:val="24"/>
          <w:szCs w:val="24"/>
        </w:rPr>
        <w:t> where "A" (accrue) is defined cannot be accrued in local currency.</w:t>
      </w:r>
    </w:p>
    <w:p w:rsidR="00815B2A" w:rsidRPr="00815B2A" w:rsidRDefault="00815B2A" w:rsidP="00815B2A">
      <w:pPr>
        <w:spacing w:before="160" w:line="240" w:lineRule="auto"/>
        <w:ind w:firstLine="15"/>
        <w:jc w:val="center"/>
        <w:rPr>
          <w:rFonts w:ascii="Calibri" w:eastAsia="Times New Roman" w:hAnsi="Calibri" w:cs="Calibri"/>
          <w:color w:val="1A1A1A"/>
          <w:sz w:val="24"/>
          <w:szCs w:val="24"/>
        </w:rPr>
      </w:pPr>
      <w:r w:rsidRPr="00815B2A">
        <w:rPr>
          <w:rFonts w:ascii="Calibri" w:eastAsia="Times New Roman" w:hAnsi="Calibri" w:cs="Calibri"/>
          <w:noProof/>
          <w:color w:val="1A1A1A"/>
          <w:sz w:val="24"/>
          <w:szCs w:val="24"/>
        </w:rPr>
        <w:lastRenderedPageBreak/>
        <w:drawing>
          <wp:inline distT="0" distB="0" distL="0" distR="0">
            <wp:extent cx="4467225" cy="4467225"/>
            <wp:effectExtent l="0" t="0" r="9525" b="9525"/>
            <wp:docPr id="2" name="Picture 2" descr="D:\Temenos\R19 -Wiki\Subsystems\R19CorpUG\Content\Resources\Images\Corp\Page-2170_469x4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Temenos\R19 -Wiki\Subsystems\R19CorpUG\Content\Resources\Images\Corp\Page-2170_469x469.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7225" cy="4467225"/>
                    </a:xfrm>
                    <a:prstGeom prst="rect">
                      <a:avLst/>
                    </a:prstGeom>
                    <a:noFill/>
                    <a:ln>
                      <a:noFill/>
                    </a:ln>
                  </pic:spPr>
                </pic:pic>
              </a:graphicData>
            </a:graphic>
          </wp:inline>
        </w:drawing>
      </w:r>
    </w:p>
    <w:p w:rsidR="00815B2A" w:rsidRPr="00815B2A" w:rsidRDefault="00815B2A" w:rsidP="00815B2A">
      <w:pPr>
        <w:spacing w:before="160" w:line="240" w:lineRule="auto"/>
        <w:ind w:firstLine="150"/>
        <w:jc w:val="center"/>
        <w:rPr>
          <w:rFonts w:ascii="Calibri" w:eastAsia="Times New Roman" w:hAnsi="Calibri" w:cs="Calibri"/>
          <w:i/>
          <w:iCs/>
          <w:color w:val="1A1A1A"/>
          <w:sz w:val="24"/>
          <w:szCs w:val="24"/>
        </w:rPr>
      </w:pPr>
      <w:r w:rsidRPr="00815B2A">
        <w:rPr>
          <w:rFonts w:ascii="Calibri" w:eastAsia="Times New Roman" w:hAnsi="Calibri" w:cs="Calibri"/>
          <w:i/>
          <w:iCs/>
          <w:color w:val="1A1A1A"/>
          <w:sz w:val="24"/>
          <w:szCs w:val="24"/>
        </w:rPr>
        <w:t>EB.ACCRUAL</w:t>
      </w:r>
    </w:p>
    <w:p w:rsidR="00815B2A" w:rsidRPr="00815B2A" w:rsidRDefault="00815B2A" w:rsidP="00815B2A">
      <w:pPr>
        <w:spacing w:before="160" w:line="240" w:lineRule="auto"/>
        <w:ind w:firstLine="15"/>
        <w:jc w:val="center"/>
        <w:rPr>
          <w:rFonts w:ascii="Calibri" w:eastAsia="Times New Roman" w:hAnsi="Calibri" w:cs="Calibri"/>
          <w:color w:val="1A1A1A"/>
          <w:sz w:val="24"/>
          <w:szCs w:val="24"/>
        </w:rPr>
      </w:pPr>
      <w:r w:rsidRPr="00815B2A">
        <w:rPr>
          <w:rFonts w:ascii="Calibri" w:eastAsia="Times New Roman" w:hAnsi="Calibri" w:cs="Calibri"/>
          <w:noProof/>
          <w:color w:val="1A1A1A"/>
          <w:sz w:val="24"/>
          <w:szCs w:val="24"/>
        </w:rPr>
        <w:lastRenderedPageBreak/>
        <w:drawing>
          <wp:inline distT="0" distB="0" distL="0" distR="0">
            <wp:extent cx="4505325" cy="4048125"/>
            <wp:effectExtent l="0" t="0" r="9525" b="9525"/>
            <wp:docPr id="1" name="Picture 1" descr="D:\Temenos\R19 -Wiki\Subsystems\R19CorpUG\Content\Resources\Images\Corp\Page-2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Temenos\R19 -Wiki\Subsystems\R19CorpUG\Content\Resources\Images\Corp\Page-222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5325" cy="4048125"/>
                    </a:xfrm>
                    <a:prstGeom prst="rect">
                      <a:avLst/>
                    </a:prstGeom>
                    <a:noFill/>
                    <a:ln>
                      <a:noFill/>
                    </a:ln>
                  </pic:spPr>
                </pic:pic>
              </a:graphicData>
            </a:graphic>
          </wp:inline>
        </w:drawing>
      </w:r>
    </w:p>
    <w:p w:rsidR="00815B2A" w:rsidRPr="00815B2A" w:rsidRDefault="00815B2A" w:rsidP="00815B2A">
      <w:pPr>
        <w:spacing w:before="160" w:line="240" w:lineRule="auto"/>
        <w:ind w:firstLine="150"/>
        <w:jc w:val="center"/>
        <w:rPr>
          <w:rFonts w:ascii="Calibri" w:eastAsia="Times New Roman" w:hAnsi="Calibri" w:cs="Calibri"/>
          <w:i/>
          <w:iCs/>
          <w:color w:val="1A1A1A"/>
          <w:sz w:val="24"/>
          <w:szCs w:val="24"/>
        </w:rPr>
      </w:pPr>
      <w:r w:rsidRPr="00815B2A">
        <w:rPr>
          <w:rFonts w:ascii="Calibri" w:eastAsia="Times New Roman" w:hAnsi="Calibri" w:cs="Calibri"/>
          <w:i/>
          <w:iCs/>
          <w:color w:val="1A1A1A"/>
          <w:sz w:val="24"/>
          <w:szCs w:val="24"/>
        </w:rPr>
        <w:t>EB.CONTRACT.BALANCES</w:t>
      </w:r>
    </w:p>
    <w:p w:rsidR="00E54EF4" w:rsidRDefault="00E54EF4">
      <w:bookmarkStart w:id="0" w:name="_GoBack"/>
      <w:bookmarkEnd w:id="0"/>
    </w:p>
    <w:sectPr w:rsidR="00E54E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B2A"/>
    <w:rsid w:val="003B1C55"/>
    <w:rsid w:val="00815B2A"/>
    <w:rsid w:val="00E54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7933AD-BC55-4B76-987C-7D4895884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15B2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B2A"/>
    <w:rPr>
      <w:rFonts w:ascii="Times New Roman" w:eastAsia="Times New Roman" w:hAnsi="Times New Roman" w:cs="Times New Roman"/>
      <w:b/>
      <w:bCs/>
      <w:kern w:val="36"/>
      <w:sz w:val="48"/>
      <w:szCs w:val="48"/>
    </w:rPr>
  </w:style>
  <w:style w:type="character" w:customStyle="1" w:styleId="searchhighlight">
    <w:name w:val="searchhighlight"/>
    <w:basedOn w:val="DefaultParagraphFont"/>
    <w:rsid w:val="00815B2A"/>
  </w:style>
  <w:style w:type="paragraph" w:styleId="NormalWeb">
    <w:name w:val="Normal (Web)"/>
    <w:basedOn w:val="Normal"/>
    <w:uiPriority w:val="99"/>
    <w:semiHidden/>
    <w:unhideWhenUsed/>
    <w:rsid w:val="00815B2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15B2A"/>
    <w:rPr>
      <w:i/>
      <w:iCs/>
    </w:rPr>
  </w:style>
  <w:style w:type="paragraph" w:customStyle="1" w:styleId="image">
    <w:name w:val="image"/>
    <w:basedOn w:val="Normal"/>
    <w:rsid w:val="00815B2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
    <w:name w:val="caption"/>
    <w:basedOn w:val="Normal"/>
    <w:rsid w:val="00815B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15B2A"/>
    <w:rPr>
      <w:b/>
      <w:bCs/>
    </w:rPr>
  </w:style>
  <w:style w:type="character" w:styleId="Hyperlink">
    <w:name w:val="Hyperlink"/>
    <w:basedOn w:val="DefaultParagraphFont"/>
    <w:uiPriority w:val="99"/>
    <w:semiHidden/>
    <w:unhideWhenUsed/>
    <w:rsid w:val="00815B2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7077966">
      <w:bodyDiv w:val="1"/>
      <w:marLeft w:val="0"/>
      <w:marRight w:val="0"/>
      <w:marTop w:val="0"/>
      <w:marBottom w:val="0"/>
      <w:divBdr>
        <w:top w:val="none" w:sz="0" w:space="0" w:color="auto"/>
        <w:left w:val="none" w:sz="0" w:space="0" w:color="auto"/>
        <w:bottom w:val="none" w:sz="0" w:space="0" w:color="auto"/>
        <w:right w:val="none" w:sz="0" w:space="0" w:color="auto"/>
      </w:divBdr>
      <w:divsChild>
        <w:div w:id="7595685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yperlink" Target="javascript:void(0);"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customXml" Target="../customXml/item3.xml"/><Relationship Id="rId10" Type="http://schemas.openxmlformats.org/officeDocument/2006/relationships/image" Target="media/image6.jpe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8E04355015644FA7D91DADBAB27FE7" ma:contentTypeVersion="14" ma:contentTypeDescription="Create a new document." ma:contentTypeScope="" ma:versionID="73effcea245609b98868339027850cd5">
  <xsd:schema xmlns:xsd="http://www.w3.org/2001/XMLSchema" xmlns:xs="http://www.w3.org/2001/XMLSchema" xmlns:p="http://schemas.microsoft.com/office/2006/metadata/properties" xmlns:ns2="ba59517d-6e3c-432f-b4a3-1350a2c69b77" xmlns:ns3="2034e750-5a1e-4765-a14a-eb78901ce74e" targetNamespace="http://schemas.microsoft.com/office/2006/metadata/properties" ma:root="true" ma:fieldsID="40c39cc38203ce5d6049626861db304f" ns2:_="" ns3:_="">
    <xsd:import namespace="ba59517d-6e3c-432f-b4a3-1350a2c69b77"/>
    <xsd:import namespace="2034e750-5a1e-4765-a14a-eb78901ce74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59517d-6e3c-432f-b4a3-1350a2c69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e28423-0dcb-4305-acb8-9b436a4be59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34e750-5a1e-4765-a14a-eb78901ce74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a8dc8e-e5ae-4997-bda9-c51ed50094d1}" ma:internalName="TaxCatchAll" ma:showField="CatchAllData" ma:web="2034e750-5a1e-4765-a14a-eb78901ce74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034e750-5a1e-4765-a14a-eb78901ce74e" xsi:nil="true"/>
    <lcf76f155ced4ddcb4097134ff3c332f xmlns="ba59517d-6e3c-432f-b4a3-1350a2c69b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BE1ED29-FA97-4BBD-8C5A-99657D4D2FBA}"/>
</file>

<file path=customXml/itemProps2.xml><?xml version="1.0" encoding="utf-8"?>
<ds:datastoreItem xmlns:ds="http://schemas.openxmlformats.org/officeDocument/2006/customXml" ds:itemID="{E14067AE-214C-49AB-A62B-827F72E2734E}"/>
</file>

<file path=customXml/itemProps3.xml><?xml version="1.0" encoding="utf-8"?>
<ds:datastoreItem xmlns:ds="http://schemas.openxmlformats.org/officeDocument/2006/customXml" ds:itemID="{B3E878FC-71C3-472E-A83A-C83C62C13071}"/>
</file>

<file path=docProps/app.xml><?xml version="1.0" encoding="utf-8"?>
<Properties xmlns="http://schemas.openxmlformats.org/officeDocument/2006/extended-properties" xmlns:vt="http://schemas.openxmlformats.org/officeDocument/2006/docPropsVTypes">
  <Template>Normal</Template>
  <TotalTime>24</TotalTime>
  <Pages>7</Pages>
  <Words>704</Words>
  <Characters>4016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2022-02-17T06:46:00Z</dcterms:created>
  <dcterms:modified xsi:type="dcterms:W3CDTF">2022-02-17T07:10:00Z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0x010100058E04355015644FA7D91DADBAB27FE7</vt:lpwstr>
  </property>
</Properties>
</file>