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EC9" w14:textId="68648352" w:rsidR="00C448DF" w:rsidRDefault="00C219FA" w:rsidP="00C219FA">
      <w:pPr>
        <w:pStyle w:val="Heading1"/>
      </w:pPr>
      <w:r>
        <w:t>SAMA</w:t>
      </w:r>
    </w:p>
    <w:p w14:paraId="1C8125F5" w14:textId="0B1B54C7" w:rsidR="00C219FA" w:rsidRDefault="00C219FA" w:rsidP="00C219FA">
      <w:pPr>
        <w:pStyle w:val="Heading2"/>
      </w:pPr>
      <w:r>
        <w:t>Customer</w:t>
      </w:r>
    </w:p>
    <w:p w14:paraId="1D4E39FF" w14:textId="76BD0672" w:rsidR="000340DD" w:rsidRDefault="000340DD" w:rsidP="00C219FA">
      <w:pPr>
        <w:pStyle w:val="NoSpacing"/>
        <w:numPr>
          <w:ilvl w:val="0"/>
          <w:numId w:val="1"/>
        </w:numPr>
      </w:pPr>
      <w:r>
        <w:t>No FSD for Customer</w:t>
      </w:r>
    </w:p>
    <w:p w14:paraId="0FD72902" w14:textId="77777777" w:rsidR="002D5EBB" w:rsidRDefault="002D5EBB" w:rsidP="002D5EBB">
      <w:pPr>
        <w:pStyle w:val="NoSpacing"/>
        <w:ind w:left="720"/>
      </w:pPr>
    </w:p>
    <w:p w14:paraId="74F96D98" w14:textId="017C1229" w:rsidR="00B17B53" w:rsidRDefault="00B17B53" w:rsidP="002D5EBB">
      <w:pPr>
        <w:pStyle w:val="NoSpacing"/>
        <w:ind w:left="720"/>
      </w:pPr>
      <w:hyperlink r:id="rId5" w:history="1">
        <w:r w:rsidRPr="00B17B53">
          <w:rPr>
            <w:rStyle w:val="Hyperlink"/>
          </w:rPr>
          <w:t>Biometric Authentication for Remote Customer Relationship Initiation/Establishment | SAMA Rulebook</w:t>
        </w:r>
      </w:hyperlink>
    </w:p>
    <w:p w14:paraId="2B3096F1" w14:textId="6CE9BEEC" w:rsidR="000340DD" w:rsidRDefault="000340DD" w:rsidP="00C219FA">
      <w:pPr>
        <w:pStyle w:val="NoSpacing"/>
        <w:numPr>
          <w:ilvl w:val="0"/>
          <w:numId w:val="1"/>
        </w:numPr>
      </w:pPr>
      <w:r>
        <w:t xml:space="preserve">Bank should use (Nafath) Application as the Bio Metric Authentication app at the time virtual </w:t>
      </w:r>
      <w:r w:rsidR="0095322D">
        <w:t>Customer Onboarding.</w:t>
      </w:r>
    </w:p>
    <w:p w14:paraId="130116AD" w14:textId="77777777" w:rsidR="00B17B53" w:rsidRDefault="00B17B53" w:rsidP="00C219FA">
      <w:pPr>
        <w:pStyle w:val="NoSpacing"/>
        <w:numPr>
          <w:ilvl w:val="0"/>
          <w:numId w:val="1"/>
        </w:numPr>
      </w:pPr>
    </w:p>
    <w:p w14:paraId="7FD3FD7A" w14:textId="41CC2D24" w:rsidR="00114EEE" w:rsidRDefault="00114EEE" w:rsidP="00C219FA">
      <w:pPr>
        <w:pStyle w:val="NoSpacing"/>
        <w:numPr>
          <w:ilvl w:val="0"/>
          <w:numId w:val="1"/>
        </w:numPr>
      </w:pPr>
      <w:r>
        <w:t xml:space="preserve">What Types of Risk category available currently in bank, if no how to </w:t>
      </w:r>
      <w:r w:rsidR="00F61214">
        <w:t>assess the Risk.</w:t>
      </w:r>
    </w:p>
    <w:p w14:paraId="208DDB06" w14:textId="77777777" w:rsidR="00114EEE" w:rsidRDefault="00114EEE" w:rsidP="00114EEE">
      <w:pPr>
        <w:pStyle w:val="NoSpacing"/>
        <w:ind w:left="720"/>
      </w:pPr>
    </w:p>
    <w:p w14:paraId="25018E01" w14:textId="77777777" w:rsidR="00114EEE" w:rsidRDefault="00114EEE" w:rsidP="00114EEE">
      <w:pPr>
        <w:pStyle w:val="NoSpacing"/>
        <w:ind w:left="720"/>
      </w:pPr>
    </w:p>
    <w:p w14:paraId="58F5EFB5" w14:textId="310F0D81" w:rsidR="008F7530" w:rsidRDefault="008F7530" w:rsidP="00C219FA">
      <w:pPr>
        <w:pStyle w:val="NoSpacing"/>
        <w:numPr>
          <w:ilvl w:val="0"/>
          <w:numId w:val="1"/>
        </w:numPr>
      </w:pPr>
      <w:r w:rsidRPr="008F7530">
        <w:t>Banks must conduct a full risk assessment of new products and services which form the basis on whether or not to introduce them to the market taking into account reviewing all the associated risk throughout the life cycle of the products and services.</w:t>
      </w:r>
    </w:p>
    <w:p w14:paraId="770F14A3" w14:textId="77777777" w:rsidR="00527160" w:rsidRPr="00527160" w:rsidRDefault="00527160" w:rsidP="00527160">
      <w:pPr>
        <w:spacing w:after="0" w:line="240" w:lineRule="auto"/>
        <w:rPr>
          <w:rFonts w:ascii="Cuprum" w:eastAsia="Times New Roman" w:hAnsi="Cuprum" w:cs="Times New Roman"/>
          <w:color w:val="343A40"/>
          <w:kern w:val="0"/>
          <w:lang w:eastAsia="en-150"/>
          <w14:ligatures w14:val="none"/>
        </w:rPr>
      </w:pPr>
      <w:r w:rsidRPr="00527160">
        <w:rPr>
          <w:rFonts w:ascii="Cuprum" w:eastAsia="Times New Roman" w:hAnsi="Cuprum" w:cs="Times New Roman"/>
          <w:color w:val="343A40"/>
          <w:kern w:val="0"/>
          <w:lang w:eastAsia="en-150"/>
          <w14:ligatures w14:val="none"/>
        </w:rPr>
        <w:br/>
        <w:t>The compliance function must be the main contact point for liaison for submission of all applications for non-objection to introduce new products and services and to notify SAMA of any products and services in cases where non-objection is not required.</w:t>
      </w:r>
    </w:p>
    <w:p w14:paraId="08FC11B6" w14:textId="77777777" w:rsidR="00527160" w:rsidRDefault="00527160" w:rsidP="00527160">
      <w:pPr>
        <w:pStyle w:val="NoSpacing"/>
      </w:pPr>
    </w:p>
    <w:p w14:paraId="4E90DDEC" w14:textId="0AF7A15C" w:rsidR="00C219FA" w:rsidRDefault="00C219FA" w:rsidP="00C219FA">
      <w:pPr>
        <w:pStyle w:val="NoSpacing"/>
        <w:numPr>
          <w:ilvl w:val="0"/>
          <w:numId w:val="1"/>
        </w:numPr>
      </w:pPr>
      <w:r>
        <w:t>The issuance of subsidiary commercial registers has been cancelled.</w:t>
      </w:r>
    </w:p>
    <w:p w14:paraId="269E95C8" w14:textId="77777777" w:rsidR="00C219FA" w:rsidRDefault="00C219FA" w:rsidP="00C219FA">
      <w:pPr>
        <w:pStyle w:val="NoSpacing"/>
        <w:numPr>
          <w:ilvl w:val="0"/>
          <w:numId w:val="1"/>
        </w:numPr>
      </w:pPr>
      <w:r>
        <w:t>A five-year grace period has been granted to regularize the status of existing subsidiary registers.</w:t>
      </w:r>
    </w:p>
    <w:p w14:paraId="2CE4EB7B" w14:textId="77777777" w:rsidR="00C219FA" w:rsidRDefault="00C219FA" w:rsidP="00C219FA">
      <w:pPr>
        <w:pStyle w:val="NoSpacing"/>
        <w:numPr>
          <w:ilvl w:val="0"/>
          <w:numId w:val="1"/>
        </w:numPr>
      </w:pPr>
      <w:r>
        <w:t>The expiry date for commercial registrations has been eliminated</w:t>
      </w:r>
    </w:p>
    <w:p w14:paraId="652A8EA5" w14:textId="77777777" w:rsidR="00C219FA" w:rsidRDefault="00C219FA" w:rsidP="00C219FA">
      <w:pPr>
        <w:pStyle w:val="NoSpacing"/>
        <w:numPr>
          <w:ilvl w:val="0"/>
          <w:numId w:val="1"/>
        </w:numPr>
      </w:pPr>
      <w:r>
        <w:t>current status of the commercial registration should be update</w:t>
      </w:r>
    </w:p>
    <w:p w14:paraId="2CAF3C4A" w14:textId="77777777" w:rsidR="00C219FA" w:rsidRDefault="00C219FA" w:rsidP="00C219FA">
      <w:pPr>
        <w:pStyle w:val="NoSpacing"/>
        <w:numPr>
          <w:ilvl w:val="0"/>
          <w:numId w:val="1"/>
        </w:numPr>
      </w:pPr>
      <w:r>
        <w:t>Suspended registrations will be treated in the same manner as expired commercial registrations</w:t>
      </w:r>
    </w:p>
    <w:p w14:paraId="59A8AF62" w14:textId="77777777" w:rsidR="00C219FA" w:rsidRDefault="00C219FA" w:rsidP="00C219FA">
      <w:pPr>
        <w:pStyle w:val="NoSpacing"/>
        <w:numPr>
          <w:ilvl w:val="0"/>
          <w:numId w:val="1"/>
        </w:numPr>
      </w:pPr>
      <w:r>
        <w:t>Unified National Number can be replace for the traditional commercial registration number.</w:t>
      </w:r>
    </w:p>
    <w:p w14:paraId="268BB00F" w14:textId="36621C4F" w:rsidR="00B179D2" w:rsidRDefault="00B179D2" w:rsidP="00C219FA">
      <w:pPr>
        <w:pStyle w:val="NoSpacing"/>
        <w:numPr>
          <w:ilvl w:val="0"/>
          <w:numId w:val="1"/>
        </w:numPr>
      </w:pPr>
    </w:p>
    <w:p w14:paraId="60BAEE33" w14:textId="77777777" w:rsidR="00C219FA" w:rsidRDefault="00C219FA" w:rsidP="00C219FA">
      <w:pPr>
        <w:pStyle w:val="NoSpacing"/>
      </w:pPr>
    </w:p>
    <w:p w14:paraId="598CC621" w14:textId="36769F1F" w:rsidR="004F7958" w:rsidRDefault="004F7958" w:rsidP="00C219FA">
      <w:pPr>
        <w:pStyle w:val="NoSpacing"/>
      </w:pPr>
      <w:r>
        <w:t xml:space="preserve">If the company registration </w:t>
      </w:r>
      <w:r w:rsidR="00752AFE">
        <w:t xml:space="preserve">for Joint Stock business, then system should ask the Percentage of the ownership. </w:t>
      </w:r>
    </w:p>
    <w:p w14:paraId="7CC97F48" w14:textId="1A1E0AFB" w:rsidR="00752AFE" w:rsidRDefault="00EE237E" w:rsidP="00C219FA">
      <w:pPr>
        <w:pStyle w:val="NoSpacing"/>
      </w:pPr>
      <w:r>
        <w:t>Founders ID should be collect as per SAMA regulations</w:t>
      </w:r>
    </w:p>
    <w:p w14:paraId="0D8EBF47" w14:textId="77777777" w:rsidR="004F7958" w:rsidRDefault="004F7958" w:rsidP="00C219FA">
      <w:pPr>
        <w:pStyle w:val="NoSpacing"/>
      </w:pPr>
    </w:p>
    <w:p w14:paraId="375D2DE6" w14:textId="33483EAD" w:rsidR="00C219FA" w:rsidRPr="00C219FA" w:rsidRDefault="00C219FA" w:rsidP="00C219FA">
      <w:pPr>
        <w:pStyle w:val="NoSpacing"/>
        <w:rPr>
          <w:b/>
          <w:bCs/>
        </w:rPr>
      </w:pPr>
      <w:r w:rsidRPr="00C219FA">
        <w:rPr>
          <w:b/>
          <w:bCs/>
        </w:rPr>
        <w:t>A</w:t>
      </w:r>
      <w:r w:rsidRPr="00C219FA">
        <w:rPr>
          <w:b/>
          <w:bCs/>
        </w:rPr>
        <w:t>nnual data verification : Date field should be available</w:t>
      </w:r>
    </w:p>
    <w:p w14:paraId="02962D81" w14:textId="77777777" w:rsidR="00C219FA" w:rsidRDefault="00C219FA" w:rsidP="00C219FA">
      <w:pPr>
        <w:pStyle w:val="NoSpacing"/>
      </w:pPr>
    </w:p>
    <w:p w14:paraId="0CB6AE98" w14:textId="7E50F364" w:rsidR="00C219FA" w:rsidRDefault="00C219FA" w:rsidP="00C219FA">
      <w:pPr>
        <w:pStyle w:val="NoSpacing"/>
      </w:pPr>
      <w:r>
        <w:t>Banks may verify commercial registration information through the following methods:</w:t>
      </w:r>
    </w:p>
    <w:p w14:paraId="5754AF1F" w14:textId="77777777" w:rsidR="00C219FA" w:rsidRDefault="00C219FA" w:rsidP="00C219FA">
      <w:pPr>
        <w:pStyle w:val="NoSpacing"/>
      </w:pPr>
    </w:p>
    <w:p w14:paraId="66CF110D" w14:textId="77777777" w:rsidR="00C219FA" w:rsidRDefault="00C219FA" w:rsidP="00C219FA">
      <w:pPr>
        <w:pStyle w:val="NoSpacing"/>
      </w:pPr>
      <w:r>
        <w:t xml:space="preserve"> </w:t>
      </w:r>
      <w:r>
        <w:tab/>
        <w:t xml:space="preserve"> </w:t>
      </w:r>
      <w:r>
        <w:tab/>
        <w:t xml:space="preserve"> </w:t>
      </w:r>
      <w:r>
        <w:tab/>
        <w:t>1.</w:t>
      </w:r>
      <w:r>
        <w:tab/>
        <w:t>Integration via the Wathiq Platform.</w:t>
      </w:r>
    </w:p>
    <w:p w14:paraId="30CE02EE" w14:textId="77777777" w:rsidR="00C219FA" w:rsidRDefault="00C219FA" w:rsidP="00C219FA">
      <w:pPr>
        <w:pStyle w:val="NoSpacing"/>
      </w:pPr>
      <w:r>
        <w:t xml:space="preserve"> </w:t>
      </w:r>
    </w:p>
    <w:p w14:paraId="6A532AD1" w14:textId="5C1EC424" w:rsidR="00C219FA" w:rsidRPr="00C219FA" w:rsidRDefault="00C219FA" w:rsidP="00C219FA">
      <w:pPr>
        <w:pStyle w:val="NoSpacing"/>
      </w:pPr>
      <w:r>
        <w:lastRenderedPageBreak/>
        <w:t xml:space="preserve"> </w:t>
      </w:r>
      <w:r>
        <w:tab/>
        <w:t xml:space="preserve"> </w:t>
      </w:r>
      <w:r>
        <w:tab/>
        <w:t xml:space="preserve"> </w:t>
      </w:r>
      <w:r>
        <w:tab/>
        <w:t>2.</w:t>
      </w:r>
      <w:r>
        <w:tab/>
        <w:t>Direct Inquiry through the Ministry's Official Website via the following link:  mc.gov.sa/ar/eservices/Pages/Commercial-data.aspx</w:t>
      </w:r>
    </w:p>
    <w:p w14:paraId="139E8346" w14:textId="77777777" w:rsidR="00C219FA" w:rsidRDefault="00C219FA" w:rsidP="00C219FA">
      <w:pPr>
        <w:pStyle w:val="NoSpacing"/>
      </w:pPr>
      <w:r>
        <w:t xml:space="preserve"> </w:t>
      </w:r>
    </w:p>
    <w:p w14:paraId="431EC4C2" w14:textId="77777777" w:rsidR="00C219FA" w:rsidRDefault="00C219FA" w:rsidP="00C219FA">
      <w:pPr>
        <w:pStyle w:val="NoSpacing"/>
      </w:pPr>
      <w:r>
        <w:t xml:space="preserve"> </w:t>
      </w:r>
      <w:r>
        <w:tab/>
        <w:t xml:space="preserve"> </w:t>
      </w:r>
      <w:r>
        <w:tab/>
        <w:t xml:space="preserve"> </w:t>
      </w:r>
      <w:r>
        <w:tab/>
        <w:t>3.</w:t>
      </w:r>
      <w:r>
        <w:tab/>
        <w:t>Request for an Extract from the Client or Commercial Registration Certificate through the QR Code displayed on the Commercial Registration Certificate.</w:t>
      </w:r>
    </w:p>
    <w:p w14:paraId="0E6F2663" w14:textId="77777777" w:rsidR="00C219FA" w:rsidRDefault="00C219FA" w:rsidP="00C219FA">
      <w:pPr>
        <w:pStyle w:val="NoSpacing"/>
      </w:pPr>
      <w:r>
        <w:t xml:space="preserve"> Commercial Registration(CR): Status</w:t>
      </w:r>
    </w:p>
    <w:p w14:paraId="59206A9F" w14:textId="77777777" w:rsidR="00C219FA" w:rsidRDefault="00C219FA" w:rsidP="00C219FA">
      <w:pPr>
        <w:pStyle w:val="NoSpacing"/>
      </w:pPr>
      <w:r>
        <w:tab/>
        <w:t>1. Suspended (Business fails to confirm its registration details withing 90 days of the due date)</w:t>
      </w:r>
    </w:p>
    <w:p w14:paraId="4BA73A9D" w14:textId="77777777" w:rsidR="00C219FA" w:rsidRDefault="00C219FA" w:rsidP="00C219FA">
      <w:pPr>
        <w:pStyle w:val="NoSpacing"/>
      </w:pPr>
      <w:r>
        <w:tab/>
        <w:t>2. Cancelled (If confirmation is not provided during this suspension period)</w:t>
      </w:r>
    </w:p>
    <w:p w14:paraId="6980859B" w14:textId="77777777" w:rsidR="00C219FA" w:rsidRDefault="00C219FA" w:rsidP="00C219FA">
      <w:pPr>
        <w:pStyle w:val="NoSpacing"/>
      </w:pPr>
      <w:r>
        <w:tab/>
        <w:t>3. Existing (Active)</w:t>
      </w:r>
    </w:p>
    <w:p w14:paraId="02926CB8" w14:textId="77777777" w:rsidR="00C219FA" w:rsidRDefault="00C219FA" w:rsidP="00C219FA">
      <w:pPr>
        <w:pStyle w:val="NoSpacing"/>
      </w:pPr>
      <w:r>
        <w:tab/>
        <w:t>CR ID length : 7 digit only</w:t>
      </w:r>
    </w:p>
    <w:p w14:paraId="4661876A" w14:textId="77777777" w:rsidR="00C219FA" w:rsidRDefault="00C219FA" w:rsidP="00C219FA">
      <w:pPr>
        <w:pStyle w:val="NoSpacing"/>
      </w:pPr>
      <w:r>
        <w:tab/>
        <w:t>Fine should be available if CR moved to suspension</w:t>
      </w:r>
    </w:p>
    <w:p w14:paraId="2694CCAC" w14:textId="77777777" w:rsidR="00C219FA" w:rsidRDefault="00C219FA" w:rsidP="00C219FA">
      <w:pPr>
        <w:pStyle w:val="NoSpacing"/>
      </w:pPr>
    </w:p>
    <w:p w14:paraId="357CA0D3" w14:textId="77777777" w:rsidR="00C219FA" w:rsidRDefault="00C219FA" w:rsidP="00C219FA">
      <w:pPr>
        <w:pStyle w:val="NoSpacing"/>
      </w:pPr>
      <w:r>
        <w:t>Do the Corporate Customers needs to amend their Subsidary Registeration to Updated CR ID</w:t>
      </w:r>
    </w:p>
    <w:p w14:paraId="09329D4A" w14:textId="77777777" w:rsidR="00C219FA" w:rsidRDefault="00C219FA" w:rsidP="00C219FA">
      <w:pPr>
        <w:pStyle w:val="NoSpacing"/>
      </w:pPr>
    </w:p>
    <w:p w14:paraId="75C8E32A" w14:textId="77777777" w:rsidR="00C219FA" w:rsidRDefault="00C219FA" w:rsidP="00C219FA">
      <w:pPr>
        <w:pStyle w:val="NoSpacing"/>
      </w:pPr>
      <w:r>
        <w:t>The Ministry of Commerce has outlined the requirements for addressing the existing subsidiary commercial registers, as follows:</w:t>
      </w:r>
    </w:p>
    <w:p w14:paraId="36BFC6CF" w14:textId="77777777" w:rsidR="00C219FA" w:rsidRDefault="00C219FA" w:rsidP="00C219FA">
      <w:pPr>
        <w:pStyle w:val="NoSpacing"/>
      </w:pPr>
    </w:p>
    <w:p w14:paraId="763AB31C" w14:textId="77777777" w:rsidR="00C219FA" w:rsidRPr="00C219FA" w:rsidRDefault="00C219FA" w:rsidP="00C219FA">
      <w:pPr>
        <w:pStyle w:val="NoSpacing"/>
        <w:rPr>
          <w:b/>
          <w:bCs/>
        </w:rPr>
      </w:pPr>
      <w:r w:rsidRPr="00C219FA">
        <w:rPr>
          <w:b/>
          <w:bCs/>
        </w:rPr>
        <w:t>For Companies:</w:t>
      </w:r>
    </w:p>
    <w:p w14:paraId="44F6370D" w14:textId="77777777" w:rsidR="00C219FA" w:rsidRPr="00C219FA" w:rsidRDefault="00C219FA" w:rsidP="00C219FA">
      <w:pPr>
        <w:pStyle w:val="NoSpacing"/>
        <w:numPr>
          <w:ilvl w:val="0"/>
          <w:numId w:val="3"/>
        </w:numPr>
      </w:pPr>
      <w:r w:rsidRPr="00C219FA">
        <w:t>Convert subsidiary commercial registrar into a unified company registration, or</w:t>
      </w:r>
    </w:p>
    <w:p w14:paraId="34AACD8F" w14:textId="77777777" w:rsidR="00C219FA" w:rsidRPr="00C219FA" w:rsidRDefault="00C219FA" w:rsidP="00C219FA">
      <w:pPr>
        <w:pStyle w:val="NoSpacing"/>
        <w:numPr>
          <w:ilvl w:val="0"/>
          <w:numId w:val="3"/>
        </w:numPr>
      </w:pPr>
      <w:r w:rsidRPr="00C219FA">
        <w:t>Cancel the subsidiary commercial register.</w:t>
      </w:r>
    </w:p>
    <w:p w14:paraId="179CA6A4" w14:textId="77777777" w:rsidR="00C219FA" w:rsidRPr="00C219FA" w:rsidRDefault="00C219FA" w:rsidP="00C219FA">
      <w:pPr>
        <w:pStyle w:val="NoSpacing"/>
        <w:rPr>
          <w:b/>
          <w:bCs/>
        </w:rPr>
      </w:pPr>
      <w:r w:rsidRPr="00C219FA">
        <w:rPr>
          <w:b/>
          <w:bCs/>
        </w:rPr>
        <w:t>For Individual Establishment</w:t>
      </w:r>
    </w:p>
    <w:p w14:paraId="6FB1A430" w14:textId="77777777" w:rsidR="00C219FA" w:rsidRDefault="00C219FA" w:rsidP="00C219FA">
      <w:pPr>
        <w:pStyle w:val="NoSpacing"/>
        <w:numPr>
          <w:ilvl w:val="0"/>
          <w:numId w:val="2"/>
        </w:numPr>
      </w:pPr>
      <w:r>
        <w:t>Transfer ownership to another entity, or</w:t>
      </w:r>
    </w:p>
    <w:p w14:paraId="0CF4B1A3" w14:textId="77777777" w:rsidR="00C219FA" w:rsidRDefault="00C219FA" w:rsidP="00C219FA">
      <w:pPr>
        <w:pStyle w:val="NoSpacing"/>
        <w:numPr>
          <w:ilvl w:val="0"/>
          <w:numId w:val="2"/>
        </w:numPr>
      </w:pPr>
      <w:r>
        <w:t>Convert the registration into a new company, or</w:t>
      </w:r>
    </w:p>
    <w:p w14:paraId="41E920B4" w14:textId="1803C296" w:rsidR="00C219FA" w:rsidRDefault="00C219FA" w:rsidP="00C219FA">
      <w:pPr>
        <w:pStyle w:val="NoSpacing"/>
        <w:numPr>
          <w:ilvl w:val="0"/>
          <w:numId w:val="2"/>
        </w:numPr>
      </w:pPr>
      <w:r>
        <w:t>Cancel the subsidiary commercial register.</w:t>
      </w:r>
    </w:p>
    <w:p w14:paraId="1127AC00" w14:textId="2F4F778B" w:rsidR="00C219FA" w:rsidRDefault="00C219FA" w:rsidP="00C219FA">
      <w:pPr>
        <w:pStyle w:val="Heading2"/>
      </w:pPr>
      <w:r>
        <w:t>Account</w:t>
      </w:r>
    </w:p>
    <w:p w14:paraId="713DB9E1" w14:textId="1397513C" w:rsidR="00AF5ED9" w:rsidRDefault="009D653F" w:rsidP="00AF5ED9">
      <w:hyperlink r:id="rId6" w:history="1">
        <w:r w:rsidRPr="000F6359">
          <w:rPr>
            <w:rStyle w:val="Hyperlink"/>
          </w:rPr>
          <w:t>https://rulebook.sama.gov.sa/en/new-banking-products-and-services-regulation</w:t>
        </w:r>
      </w:hyperlink>
    </w:p>
    <w:p w14:paraId="4F9BDA3B" w14:textId="77777777" w:rsidR="009D653F" w:rsidRPr="009D653F" w:rsidRDefault="009D653F" w:rsidP="00AF5ED9"/>
    <w:p w14:paraId="73986998" w14:textId="1FFDCE23" w:rsidR="00D324AF" w:rsidRDefault="00D324AF" w:rsidP="00D324AF">
      <w:r>
        <w:t xml:space="preserve">FSD: What about the Inactive Status,If account automatically closed after </w:t>
      </w:r>
      <w:r w:rsidR="001732C0">
        <w:t>no transactions then How to define Dormancy for th</w:t>
      </w:r>
      <w:r w:rsidR="00284B4C">
        <w:t>e</w:t>
      </w:r>
      <w:r w:rsidR="001732C0">
        <w:t xml:space="preserve"> account</w:t>
      </w:r>
    </w:p>
    <w:p w14:paraId="3C2C196C" w14:textId="645C9CDB" w:rsidR="001732C0" w:rsidRDefault="00867EC2" w:rsidP="00D324AF">
      <w:r>
        <w:t>If the Account closed automatically, then what about the available balance in customer’s account</w:t>
      </w:r>
      <w:r w:rsidR="00A41C43">
        <w:t>.</w:t>
      </w:r>
    </w:p>
    <w:p w14:paraId="53258825" w14:textId="3ED40C08" w:rsidR="00A41C43" w:rsidRDefault="00A41C43" w:rsidP="00D324AF">
      <w:r>
        <w:t xml:space="preserve">Is there any </w:t>
      </w:r>
      <w:r w:rsidR="00ED49DB">
        <w:t>condition like minimum time required to close account once it’s created</w:t>
      </w:r>
      <w:r w:rsidR="00352FC8">
        <w:t>.</w:t>
      </w:r>
    </w:p>
    <w:p w14:paraId="73404DBC" w14:textId="0249B697" w:rsidR="00CC225D" w:rsidRDefault="0092566E" w:rsidP="00D324AF">
      <w:r>
        <w:t>Do system allow user to create Back dated account creation, if yes How</w:t>
      </w:r>
      <w:r w:rsidR="00352FC8">
        <w:t xml:space="preserve"> </w:t>
      </w:r>
      <w:r>
        <w:t>many days?</w:t>
      </w:r>
    </w:p>
    <w:p w14:paraId="36295E1D" w14:textId="18AE3F8F" w:rsidR="00352FC8" w:rsidRPr="00D324AF" w:rsidRDefault="00352FC8" w:rsidP="00D324AF">
      <w:r>
        <w:t>Do we can allow customer to create Minor Account?</w:t>
      </w:r>
    </w:p>
    <w:p w14:paraId="74F9913A" w14:textId="3035A9C9" w:rsidR="00C219FA" w:rsidRDefault="00C219FA" w:rsidP="00C219FA">
      <w:pPr>
        <w:pStyle w:val="NoSpacing"/>
        <w:numPr>
          <w:ilvl w:val="0"/>
          <w:numId w:val="6"/>
        </w:numPr>
      </w:pPr>
      <w:r>
        <w:t>Set the deduction date in accordance with the salary deposit date for salaried</w:t>
      </w:r>
      <w:r>
        <w:t xml:space="preserve"> </w:t>
      </w:r>
      <w:r>
        <w:t>consumers, or as agreed upon with the consumer for non-salaried consumers,</w:t>
      </w:r>
    </w:p>
    <w:p w14:paraId="254561DF" w14:textId="77777777" w:rsidR="00C219FA" w:rsidRDefault="00C219FA" w:rsidP="00C219FA">
      <w:pPr>
        <w:pStyle w:val="NoSpacing"/>
        <w:numPr>
          <w:ilvl w:val="0"/>
          <w:numId w:val="5"/>
        </w:numPr>
      </w:pPr>
      <w:r>
        <w:t>ensuring it is specified in the finance contract or repayment schedule,</w:t>
      </w:r>
    </w:p>
    <w:p w14:paraId="7B412BDD" w14:textId="71C86EF7" w:rsidR="00C219FA" w:rsidRDefault="00C219FA" w:rsidP="00C219FA">
      <w:pPr>
        <w:pStyle w:val="NoSpacing"/>
        <w:numPr>
          <w:ilvl w:val="0"/>
          <w:numId w:val="4"/>
        </w:numPr>
      </w:pPr>
      <w:r>
        <w:lastRenderedPageBreak/>
        <w:t>considering changes in salary deposit dates, whether continuous or temporary (e.g., when salary deposit date coinciding with weekends or holidays).</w:t>
      </w:r>
    </w:p>
    <w:p w14:paraId="4FA7A605" w14:textId="252CDAA2" w:rsidR="00284B4C" w:rsidRDefault="00284B4C" w:rsidP="00C219FA">
      <w:pPr>
        <w:pStyle w:val="NoSpacing"/>
        <w:numPr>
          <w:ilvl w:val="0"/>
          <w:numId w:val="4"/>
        </w:numPr>
      </w:pPr>
      <w:r>
        <w:t>Account name should be the Customer’s Name only</w:t>
      </w:r>
    </w:p>
    <w:p w14:paraId="4E66478F" w14:textId="77777777" w:rsidR="00E97B52" w:rsidRDefault="00E97B52" w:rsidP="00667C6F">
      <w:pPr>
        <w:pStyle w:val="NoSpacing"/>
        <w:ind w:left="720"/>
      </w:pPr>
    </w:p>
    <w:p w14:paraId="4A7AD214" w14:textId="27C27CA4" w:rsidR="00667C6F" w:rsidRDefault="00667C6F" w:rsidP="00EE17EC">
      <w:pPr>
        <w:pStyle w:val="NoSpacing"/>
        <w:numPr>
          <w:ilvl w:val="0"/>
          <w:numId w:val="7"/>
        </w:numPr>
      </w:pPr>
      <w:r>
        <w:t>Set the deduction date in accordance with the salary deposit date for salaried consumers, or as agreed upon with the consumer for non-salaried consumers</w:t>
      </w:r>
      <w:r w:rsidR="00EE17EC">
        <w:t>.</w:t>
      </w:r>
    </w:p>
    <w:p w14:paraId="3EEB7CB9" w14:textId="01640A99" w:rsidR="00667C6F" w:rsidRDefault="00667C6F" w:rsidP="00EE17EC">
      <w:pPr>
        <w:pStyle w:val="NoSpacing"/>
        <w:numPr>
          <w:ilvl w:val="0"/>
          <w:numId w:val="7"/>
        </w:numPr>
      </w:pPr>
      <w:r>
        <w:t>ensuring it is specified in the finance contract or repayment schedule,</w:t>
      </w:r>
      <w:r w:rsidR="00EE17EC">
        <w:t xml:space="preserve"> </w:t>
      </w:r>
      <w:r>
        <w:t>considering changes in salary deposit dates, whether continuous or temporary (e.g., when salary deposit date coinciding with weekends or holidays).</w:t>
      </w:r>
    </w:p>
    <w:p w14:paraId="67880870" w14:textId="77777777" w:rsidR="000F0B07" w:rsidRPr="00C219FA" w:rsidRDefault="000F0B07" w:rsidP="000F0B07">
      <w:pPr>
        <w:pStyle w:val="NoSpacing"/>
      </w:pPr>
    </w:p>
    <w:sectPr w:rsidR="000F0B07" w:rsidRPr="00C21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upru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5CE"/>
    <w:multiLevelType w:val="hybridMultilevel"/>
    <w:tmpl w:val="C0B09528"/>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6921591"/>
    <w:multiLevelType w:val="hybridMultilevel"/>
    <w:tmpl w:val="81F88FEE"/>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EDB09E2"/>
    <w:multiLevelType w:val="hybridMultilevel"/>
    <w:tmpl w:val="C03EBBB4"/>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3DD2DC9"/>
    <w:multiLevelType w:val="hybridMultilevel"/>
    <w:tmpl w:val="6EE84C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510A2FF6"/>
    <w:multiLevelType w:val="hybridMultilevel"/>
    <w:tmpl w:val="747C3D46"/>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6C3B69CE"/>
    <w:multiLevelType w:val="hybridMultilevel"/>
    <w:tmpl w:val="4B821FD6"/>
    <w:lvl w:ilvl="0" w:tplc="0C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EB36C30"/>
    <w:multiLevelType w:val="hybridMultilevel"/>
    <w:tmpl w:val="860CD956"/>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9965352">
    <w:abstractNumId w:val="3"/>
  </w:num>
  <w:num w:numId="2" w16cid:durableId="1784038147">
    <w:abstractNumId w:val="6"/>
  </w:num>
  <w:num w:numId="3" w16cid:durableId="1433551906">
    <w:abstractNumId w:val="0"/>
  </w:num>
  <w:num w:numId="4" w16cid:durableId="2076660658">
    <w:abstractNumId w:val="1"/>
  </w:num>
  <w:num w:numId="5" w16cid:durableId="815955037">
    <w:abstractNumId w:val="4"/>
  </w:num>
  <w:num w:numId="6" w16cid:durableId="88352244">
    <w:abstractNumId w:val="2"/>
  </w:num>
  <w:num w:numId="7" w16cid:durableId="1418941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FA"/>
    <w:rsid w:val="000340DD"/>
    <w:rsid w:val="000F0B07"/>
    <w:rsid w:val="00114EEE"/>
    <w:rsid w:val="001732C0"/>
    <w:rsid w:val="00284B4C"/>
    <w:rsid w:val="002D5EBB"/>
    <w:rsid w:val="00352FC8"/>
    <w:rsid w:val="004F7958"/>
    <w:rsid w:val="00527160"/>
    <w:rsid w:val="00667C6F"/>
    <w:rsid w:val="00752AFE"/>
    <w:rsid w:val="007D44E9"/>
    <w:rsid w:val="00867EC2"/>
    <w:rsid w:val="008F7530"/>
    <w:rsid w:val="0092566E"/>
    <w:rsid w:val="0095322D"/>
    <w:rsid w:val="009D653F"/>
    <w:rsid w:val="00A41C43"/>
    <w:rsid w:val="00AF5ED9"/>
    <w:rsid w:val="00B179D2"/>
    <w:rsid w:val="00B17B53"/>
    <w:rsid w:val="00B8600C"/>
    <w:rsid w:val="00C219FA"/>
    <w:rsid w:val="00C448DF"/>
    <w:rsid w:val="00CC225D"/>
    <w:rsid w:val="00D324AF"/>
    <w:rsid w:val="00E97B52"/>
    <w:rsid w:val="00ED49DB"/>
    <w:rsid w:val="00EE17EC"/>
    <w:rsid w:val="00EE237E"/>
    <w:rsid w:val="00F61214"/>
    <w:rsid w:val="00FF79B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832F"/>
  <w15:chartTrackingRefBased/>
  <w15:docId w15:val="{DAB480D0-DA20-42A7-B085-57AEFA01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FA"/>
    <w:rPr>
      <w:rFonts w:eastAsiaTheme="majorEastAsia" w:cstheme="majorBidi"/>
      <w:color w:val="272727" w:themeColor="text1" w:themeTint="D8"/>
    </w:rPr>
  </w:style>
  <w:style w:type="paragraph" w:styleId="Title">
    <w:name w:val="Title"/>
    <w:basedOn w:val="Normal"/>
    <w:next w:val="Normal"/>
    <w:link w:val="TitleChar"/>
    <w:uiPriority w:val="10"/>
    <w:qFormat/>
    <w:rsid w:val="00C21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FA"/>
    <w:pPr>
      <w:spacing w:before="160"/>
      <w:jc w:val="center"/>
    </w:pPr>
    <w:rPr>
      <w:i/>
      <w:iCs/>
      <w:color w:val="404040" w:themeColor="text1" w:themeTint="BF"/>
    </w:rPr>
  </w:style>
  <w:style w:type="character" w:customStyle="1" w:styleId="QuoteChar">
    <w:name w:val="Quote Char"/>
    <w:basedOn w:val="DefaultParagraphFont"/>
    <w:link w:val="Quote"/>
    <w:uiPriority w:val="29"/>
    <w:rsid w:val="00C219FA"/>
    <w:rPr>
      <w:i/>
      <w:iCs/>
      <w:color w:val="404040" w:themeColor="text1" w:themeTint="BF"/>
    </w:rPr>
  </w:style>
  <w:style w:type="paragraph" w:styleId="ListParagraph">
    <w:name w:val="List Paragraph"/>
    <w:basedOn w:val="Normal"/>
    <w:uiPriority w:val="34"/>
    <w:qFormat/>
    <w:rsid w:val="00C219FA"/>
    <w:pPr>
      <w:ind w:left="720"/>
      <w:contextualSpacing/>
    </w:pPr>
  </w:style>
  <w:style w:type="character" w:styleId="IntenseEmphasis">
    <w:name w:val="Intense Emphasis"/>
    <w:basedOn w:val="DefaultParagraphFont"/>
    <w:uiPriority w:val="21"/>
    <w:qFormat/>
    <w:rsid w:val="00C219FA"/>
    <w:rPr>
      <w:i/>
      <w:iCs/>
      <w:color w:val="0F4761" w:themeColor="accent1" w:themeShade="BF"/>
    </w:rPr>
  </w:style>
  <w:style w:type="paragraph" w:styleId="IntenseQuote">
    <w:name w:val="Intense Quote"/>
    <w:basedOn w:val="Normal"/>
    <w:next w:val="Normal"/>
    <w:link w:val="IntenseQuoteChar"/>
    <w:uiPriority w:val="30"/>
    <w:qFormat/>
    <w:rsid w:val="00C21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9FA"/>
    <w:rPr>
      <w:i/>
      <w:iCs/>
      <w:color w:val="0F4761" w:themeColor="accent1" w:themeShade="BF"/>
    </w:rPr>
  </w:style>
  <w:style w:type="character" w:styleId="IntenseReference">
    <w:name w:val="Intense Reference"/>
    <w:basedOn w:val="DefaultParagraphFont"/>
    <w:uiPriority w:val="32"/>
    <w:qFormat/>
    <w:rsid w:val="00C219FA"/>
    <w:rPr>
      <w:b/>
      <w:bCs/>
      <w:smallCaps/>
      <w:color w:val="0F4761" w:themeColor="accent1" w:themeShade="BF"/>
      <w:spacing w:val="5"/>
    </w:rPr>
  </w:style>
  <w:style w:type="paragraph" w:styleId="NoSpacing">
    <w:name w:val="No Spacing"/>
    <w:uiPriority w:val="1"/>
    <w:qFormat/>
    <w:rsid w:val="00C219FA"/>
    <w:pPr>
      <w:spacing w:after="0" w:line="240" w:lineRule="auto"/>
    </w:pPr>
  </w:style>
  <w:style w:type="character" w:styleId="Hyperlink">
    <w:name w:val="Hyperlink"/>
    <w:basedOn w:val="DefaultParagraphFont"/>
    <w:uiPriority w:val="99"/>
    <w:unhideWhenUsed/>
    <w:rsid w:val="009D653F"/>
    <w:rPr>
      <w:color w:val="467886" w:themeColor="hyperlink"/>
      <w:u w:val="single"/>
    </w:rPr>
  </w:style>
  <w:style w:type="character" w:styleId="UnresolvedMention">
    <w:name w:val="Unresolved Mention"/>
    <w:basedOn w:val="DefaultParagraphFont"/>
    <w:uiPriority w:val="99"/>
    <w:semiHidden/>
    <w:unhideWhenUsed/>
    <w:rsid w:val="009D6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06538">
      <w:bodyDiv w:val="1"/>
      <w:marLeft w:val="0"/>
      <w:marRight w:val="0"/>
      <w:marTop w:val="0"/>
      <w:marBottom w:val="0"/>
      <w:divBdr>
        <w:top w:val="none" w:sz="0" w:space="0" w:color="auto"/>
        <w:left w:val="none" w:sz="0" w:space="0" w:color="auto"/>
        <w:bottom w:val="none" w:sz="0" w:space="0" w:color="auto"/>
        <w:right w:val="none" w:sz="0" w:space="0" w:color="auto"/>
      </w:divBdr>
    </w:div>
    <w:div w:id="55590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lebook.sama.gov.sa/en/new-banking-products-and-services-regulation" TargetMode="External"/><Relationship Id="rId5" Type="http://schemas.openxmlformats.org/officeDocument/2006/relationships/hyperlink" Target="https://rulebook.sama.gov.sa/en/biometric-authentication-remote-customer-relationship-initiationestablish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Goli SivaGuravaiah</dc:creator>
  <cp:keywords/>
  <dc:description/>
  <cp:lastModifiedBy>Goli SivaGuravaiah</cp:lastModifiedBy>
  <cp:revision>29</cp:revision>
  <dcterms:created xsi:type="dcterms:W3CDTF">2025-05-09T07:47:00Z</dcterms:created>
  <dcterms:modified xsi:type="dcterms:W3CDTF">2025-05-09T10:27:00Z</dcterms:modified>
</cp:coreProperties>
</file>