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drawing>
          <wp:inline distT="0" distB="0" distL="0" distR="0">
            <wp:extent cx="3419475" cy="305943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</w:pPr>
      <w:r>
        <w:t xml:space="preserve">Figure 1.1  Cross plot of core data from Han, et al. (1986), plotted in the “Biot plane”.  </w:t>
      </w:r>
    </w:p>
    <w:p>
      <w:pPr>
        <w:spacing w:after="0" w:line="240" w:lineRule="auto"/>
        <w:jc w:val="both"/>
      </w:pPr>
      <w:r>
        <w:t xml:space="preserve">Physically realizable rocks are bounded by the Reuss bound, which represents the softest </w:t>
      </w:r>
    </w:p>
    <w:p>
      <w:pPr>
        <w:jc w:val="center"/>
      </w:pPr>
      <w:r>
        <w:t xml:space="preserve">possible rock, and the Voigt bound, which represents the hardest possible rock.  In the Biot </w:t>
      </w:r>
    </w:p>
    <w:p>
      <w:pPr>
        <w:spacing w:after="0" w:line="240" w:lineRule="auto"/>
        <w:jc w:val="both"/>
      </w:pPr>
      <w:r>
        <w:t xml:space="preserve">plane, the Reuss bound is simply Biot = 1.0, while the Voigt bound is Biot = rock porosity.  </w:t>
      </w:r>
    </w:p>
    <w:p>
      <w:pPr>
        <w:spacing w:after="0" w:line="240" w:lineRule="auto"/>
        <w:jc w:val="both"/>
      </w:pPr>
      <w:r>
        <w:t xml:space="preserve">Nur’s modified Voigt bound (green line) represents a reasonable lower limit.  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drawing>
          <wp:inline distT="0" distB="0" distL="0" distR="0">
            <wp:extent cx="4709160" cy="30575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6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1.2  Generalized forward logic used in Converge.</w:t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0" distR="0">
            <wp:extent cx="5867400" cy="21526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 The Converge dictionary.</w:t>
      </w:r>
    </w:p>
    <w:p>
      <w:pPr>
        <w:spacing w:after="0" w:line="240" w:lineRule="auto"/>
      </w:pPr>
    </w:p>
    <w:p>
      <w:pPr>
        <w:spacing w:after="0" w:line="240" w:lineRule="auto"/>
      </w:pPr>
      <w:r>
        <w:drawing>
          <wp:inline distT="0" distB="0" distL="0" distR="0">
            <wp:extent cx="2905125" cy="65246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 The Converge unit Measure-Of definition table.</w:t>
      </w:r>
    </w:p>
    <w:p>
      <w:pPr>
        <w:spacing w:after="0" w:line="240" w:lineRule="auto"/>
      </w:pPr>
      <w:r>
        <w:drawing>
          <wp:inline distT="0" distB="0" distL="0" distR="0">
            <wp:extent cx="5886450" cy="16954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2.3 The Converge unit conversion table.</w:t>
      </w:r>
    </w:p>
    <w:p>
      <w:pPr>
        <w:spacing w:after="0" w:line="240" w:lineRule="auto"/>
      </w:pPr>
      <w:r>
        <w:drawing>
          <wp:inline distT="0" distB="0" distL="0" distR="0">
            <wp:extent cx="5276850" cy="40005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2.4 The Converge variable definition dialog window.</w:t>
      </w:r>
    </w:p>
    <w:p>
      <w:pPr>
        <w:spacing w:after="0" w:line="240" w:lineRule="auto"/>
      </w:pPr>
      <w:r>
        <w:drawing>
          <wp:inline distT="0" distB="0" distL="0" distR="0">
            <wp:extent cx="5267325" cy="39624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2.5 Initializing Vp to 10000 km/hr.</w:t>
      </w:r>
    </w:p>
    <w:p>
      <w:pPr>
        <w:spacing w:after="0" w:line="240" w:lineRule="auto"/>
      </w:pPr>
      <w:r>
        <w:drawing>
          <wp:inline distT="0" distB="0" distL="0" distR="0">
            <wp:extent cx="5610225" cy="125730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2.6 Example Converge user dictionary.</w:t>
      </w:r>
    </w:p>
    <w:p>
      <w:pPr>
        <w:spacing w:after="0" w:line="240" w:lineRule="auto"/>
      </w:pPr>
      <w:r>
        <w:drawing>
          <wp:inline distT="0" distB="0" distL="0" distR="0">
            <wp:extent cx="3152775" cy="163830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2.7 Specifying user standard units.</w:t>
      </w:r>
    </w:p>
    <w:p>
      <w:pPr>
        <w:spacing w:after="0" w:line="240" w:lineRule="auto"/>
      </w:pPr>
      <w:r>
        <w:drawing>
          <wp:inline distT="0" distB="0" distL="0" distR="0">
            <wp:extent cx="5562600" cy="8763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2.8 User specified unit conversion.</w:t>
      </w:r>
    </w:p>
    <w:p>
      <w:pPr>
        <w:spacing w:after="0" w:line="240" w:lineRule="auto"/>
      </w:pPr>
      <w:r>
        <w:drawing>
          <wp:inline distT="0" distB="0" distL="0" distR="0">
            <wp:extent cx="5686425" cy="33242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2.9 The Converge canvas.</w:t>
      </w:r>
    </w:p>
    <w:p>
      <w:pPr>
        <w:spacing w:after="0" w:line="240" w:lineRule="auto"/>
      </w:pPr>
      <w:r>
        <w:drawing>
          <wp:inline distT="0" distB="0" distL="0" distR="0">
            <wp:extent cx="1495425" cy="321945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2.10 The Canvas popup menu.</w:t>
      </w:r>
    </w:p>
    <w:p>
      <w:pPr>
        <w:spacing w:after="0" w:line="240" w:lineRule="auto"/>
      </w:pPr>
      <w:r>
        <w:drawing>
          <wp:inline distT="0" distB="0" distL="0" distR="0">
            <wp:extent cx="3686175" cy="120015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2.11 Specifying a chip name for the Canvas.</w:t>
      </w:r>
    </w:p>
    <w:p>
      <w:pPr>
        <w:spacing w:after="0" w:line="240" w:lineRule="auto"/>
      </w:pPr>
      <w:r>
        <w:drawing>
          <wp:inline distT="0" distB="0" distL="0" distR="0">
            <wp:extent cx="5534025" cy="64579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2.12 The parameter file for a speciality plot of two datasets.</w:t>
      </w:r>
    </w:p>
    <w:p>
      <w:pPr>
        <w:spacing w:after="0" w:line="240" w:lineRule="auto"/>
      </w:pPr>
      <w:r>
        <w:drawing>
          <wp:inline distT="0" distB="0" distL="0" distR="0">
            <wp:extent cx="5629275" cy="3952875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2.13 The resulting speciality plot.</w:t>
      </w:r>
    </w:p>
    <w:p>
      <w:pPr>
        <w:spacing w:after="0" w:line="240" w:lineRule="auto"/>
      </w:pPr>
      <w:r>
        <w:drawing>
          <wp:inline distT="0" distB="0" distL="0" distR="0">
            <wp:extent cx="2066925" cy="1343025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2.14 Example speciality plot chip.</w:t>
      </w:r>
    </w:p>
    <w:p>
      <w:pPr>
        <w:spacing w:after="0" w:line="240" w:lineRule="auto"/>
      </w:pPr>
      <w:r>
        <w:drawing>
          <wp:inline distT="0" distB="0" distL="0" distR="0">
            <wp:extent cx="4086225" cy="254317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2.15 Selecting a group XML chip.</w:t>
      </w:r>
    </w:p>
    <w:p>
      <w:pPr>
        <w:spacing w:after="0" w:line="240" w:lineRule="auto"/>
      </w:pPr>
      <w:r>
        <w:drawing>
          <wp:inline distT="0" distB="0" distL="0" distR="0">
            <wp:extent cx="5705475" cy="29241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2.16 Specifying input parameters for the group chip.</w:t>
      </w:r>
    </w:p>
    <w:p>
      <w:pPr>
        <w:spacing w:after="0" w:line="240" w:lineRule="auto"/>
      </w:pPr>
      <w:r>
        <w:drawing>
          <wp:inline distT="0" distB="0" distL="0" distR="0">
            <wp:extent cx="4410075" cy="1943100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2.17 After expanding the group fluid system chip.</w:t>
      </w:r>
    </w:p>
    <w:p>
      <w:pPr>
        <w:spacing w:after="0" w:line="240" w:lineRule="auto"/>
      </w:pPr>
      <w:r>
        <w:drawing>
          <wp:inline distT="0" distB="0" distL="0" distR="0">
            <wp:extent cx="4543425" cy="3600450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</w:pPr>
      <w:r>
        <w:t>Figure 2.18 Selecting options from Canvas popup menus.</w:t>
      </w:r>
    </w:p>
    <w:p>
      <w:pPr>
        <w:spacing w:after="0" w:line="240" w:lineRule="auto"/>
      </w:pPr>
      <w:r>
        <w:drawing>
          <wp:inline distT="0" distB="0" distL="0" distR="0">
            <wp:extent cx="4400550" cy="2124075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2.19 After disconnecting the fluid trends chip.</w:t>
      </w:r>
    </w:p>
    <w:p>
      <w:pPr>
        <w:spacing w:after="0" w:line="240" w:lineRule="auto"/>
      </w:pPr>
      <w:r>
        <w:drawing>
          <wp:inline distT="0" distB="0" distL="0" distR="0">
            <wp:extent cx="5800725" cy="1847850"/>
            <wp:effectExtent l="1905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2.20 Editing input parameters for the fluid trends chip.</w:t>
      </w:r>
    </w:p>
    <w:p>
      <w:pPr>
        <w:spacing w:after="0" w:line="240" w:lineRule="auto"/>
      </w:pPr>
      <w:r>
        <w:drawing>
          <wp:inline distT="0" distB="0" distL="0" distR="0">
            <wp:extent cx="3914775" cy="110490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2.21 The function line view of the temp_press_linear chip.</w:t>
      </w:r>
    </w:p>
    <w:p>
      <w:pPr>
        <w:spacing w:after="0" w:line="240" w:lineRule="auto"/>
      </w:pPr>
      <w:r>
        <w:drawing>
          <wp:inline distT="0" distB="0" distL="0" distR="0">
            <wp:extent cx="1628775" cy="70485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2.22 A chip after hiding both input and output wires.</w:t>
      </w:r>
    </w:p>
    <w:p>
      <w:pPr>
        <w:spacing w:after="0" w:line="240" w:lineRule="auto"/>
      </w:pPr>
      <w:r>
        <w:drawing>
          <wp:inline distT="0" distB="0" distL="0" distR="0">
            <wp:extent cx="4400550" cy="933450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2.23 A chip with saved comments.</w:t>
      </w:r>
    </w:p>
    <w:p>
      <w:pPr>
        <w:spacing w:after="0" w:line="240" w:lineRule="auto"/>
      </w:pPr>
      <w:r>
        <w:drawing>
          <wp:inline distT="0" distB="0" distL="0" distR="0">
            <wp:extent cx="3867150" cy="66675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2.24 A group chip has a heavy border.</w:t>
      </w:r>
    </w:p>
    <w:p>
      <w:pPr>
        <w:spacing w:after="0" w:line="240" w:lineRule="auto"/>
      </w:pPr>
      <w:r>
        <w:drawing>
          <wp:inline distT="0" distB="0" distL="0" distR="0">
            <wp:extent cx="5943600" cy="518541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2.25 The quick plot popup menu.</w:t>
      </w:r>
    </w:p>
    <w:p>
      <w:pPr>
        <w:spacing w:after="0" w:line="240" w:lineRule="auto"/>
      </w:pPr>
      <w:r>
        <w:drawing>
          <wp:inline distT="0" distB="0" distL="0" distR="0">
            <wp:extent cx="2981325" cy="644842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2.26 The graphical log edit menu.</w:t>
      </w:r>
    </w:p>
    <w:p>
      <w:pPr>
        <w:spacing w:after="0" w:line="240" w:lineRule="auto"/>
      </w:pPr>
      <w:r>
        <w:drawing>
          <wp:inline distT="0" distB="0" distL="0" distR="0">
            <wp:extent cx="2514600" cy="6086475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2.27 Re-drawing a log to edit bad values.</w:t>
      </w:r>
    </w:p>
    <w:p>
      <w:pPr>
        <w:spacing w:after="0" w:line="240" w:lineRule="auto"/>
      </w:pPr>
      <w:r>
        <w:drawing>
          <wp:inline distT="0" distB="0" distL="0" distR="0">
            <wp:extent cx="5514975" cy="6591300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2.28 Include zones in edit mode are highlighted on the right track edge.</w:t>
      </w:r>
    </w:p>
    <w:p>
      <w:pPr>
        <w:spacing w:after="0" w:line="240" w:lineRule="auto"/>
      </w:pPr>
      <w:r>
        <w:drawing>
          <wp:inline distT="0" distB="0" distL="0" distR="0">
            <wp:extent cx="5534025" cy="6581775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>Figure 2.29 Edit results after using the flag curve.</w:t>
      </w:r>
    </w:p>
    <w:p>
      <w:pPr>
        <w:spacing w:after="0" w:line="240" w:lineRule="auto"/>
      </w:pPr>
      <w:r>
        <w:drawing>
          <wp:inline distT="0" distB="0" distL="0" distR="0">
            <wp:extent cx="5848350" cy="5305425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 xml:space="preserve">Figure 3.10  Plots for reconciliation of TSD model.  They aren’t looking so good yet, mainly </w:t>
      </w:r>
    </w:p>
    <w:p>
      <w:pPr>
        <w:spacing w:after="0" w:line="240" w:lineRule="auto"/>
      </w:pPr>
      <w:r>
        <w:t>because of lack of constraints on physical parameters.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3520"/>
    <w:rsid w:val="003E1B4A"/>
    <w:rsid w:val="0040377E"/>
    <w:rsid w:val="004C1D25"/>
    <w:rsid w:val="004D3520"/>
    <w:rsid w:val="00982B17"/>
    <w:rsid w:val="009D2D84"/>
    <w:rsid w:val="00A0508C"/>
    <w:rsid w:val="00E34910"/>
    <w:rsid w:val="09DE43B6"/>
    <w:rsid w:val="18AB6E27"/>
    <w:rsid w:val="3B4C05EA"/>
    <w:rsid w:val="745B50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324</Words>
  <Characters>1851</Characters>
  <Lines>15</Lines>
  <Paragraphs>4</Paragraphs>
  <ScaleCrop>false</ScaleCrop>
  <LinksUpToDate>false</LinksUpToDate>
  <CharactersWithSpaces>2171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2017-01-24T05:42:00Z</dcterms:created>
  <dc:creator>Dr.Ravi Sharma</dc:creator>
  <cp:lastModifiedBy>submi</cp:lastModifiedBy>
  <dcterms:modified xsi:type="dcterms:W3CDTF">2017-01-30T10:03:55Z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