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5355" w14:textId="77777777" w:rsidR="00674C9B" w:rsidRPr="005723F6" w:rsidRDefault="00000000" w:rsidP="00674C9B">
      <w:pPr>
        <w:jc w:val="center"/>
        <w:rPr>
          <w:sz w:val="24"/>
          <w:szCs w:val="24"/>
        </w:rPr>
      </w:pPr>
      <w:r w:rsidRPr="005723F6">
        <w:rPr>
          <w:b/>
          <w:bCs/>
          <w:sz w:val="24"/>
          <w:szCs w:val="24"/>
        </w:rPr>
        <w:t>Design &amp; Creative Thinking for Innovative Teaching – Leveraging AI in Teaching &amp; Learning</w:t>
      </w:r>
      <w:r w:rsidR="00674C9B" w:rsidRPr="005723F6">
        <w:rPr>
          <w:sz w:val="24"/>
          <w:szCs w:val="24"/>
        </w:rPr>
        <w:t xml:space="preserve"> </w:t>
      </w:r>
    </w:p>
    <w:p w14:paraId="241C7610" w14:textId="4726AC2A" w:rsidR="00946283" w:rsidRPr="005723F6" w:rsidRDefault="00674C9B" w:rsidP="00674C9B">
      <w:pPr>
        <w:jc w:val="center"/>
        <w:rPr>
          <w:sz w:val="24"/>
          <w:szCs w:val="24"/>
        </w:rPr>
      </w:pPr>
      <w:r w:rsidRPr="005723F6">
        <w:rPr>
          <w:b/>
          <w:bCs/>
          <w:sz w:val="24"/>
          <w:szCs w:val="24"/>
        </w:rPr>
        <w:t>TEAM # 2</w:t>
      </w:r>
      <w:r w:rsidR="00000000" w:rsidRPr="005723F6">
        <w:rPr>
          <w:sz w:val="24"/>
          <w:szCs w:val="24"/>
        </w:rPr>
        <w:br/>
      </w:r>
      <w:r w:rsidR="00000000" w:rsidRPr="005723F6">
        <w:rPr>
          <w:sz w:val="24"/>
          <w:szCs w:val="24"/>
        </w:rPr>
        <w:br/>
      </w:r>
      <w:r w:rsidR="00000000" w:rsidRPr="005723F6">
        <w:rPr>
          <w:sz w:val="24"/>
          <w:szCs w:val="24"/>
          <w:highlight w:val="yellow"/>
        </w:rPr>
        <w:t>Problem Context:</w:t>
      </w:r>
      <w:r w:rsidR="00000000" w:rsidRPr="005723F6">
        <w:rPr>
          <w:sz w:val="24"/>
          <w:szCs w:val="24"/>
        </w:rPr>
        <w:br/>
        <w:t>The school management mandated timely syllabus completion with expectations of high academic results. Despite completing the syllabus within deadlines, the class exhibited poor performance. This highlighted a critical gap between syllabus coverage and actual learning outcomes.</w:t>
      </w:r>
    </w:p>
    <w:p w14:paraId="72EA15A2" w14:textId="77777777" w:rsidR="00946283" w:rsidRPr="005723F6" w:rsidRDefault="00000000" w:rsidP="00674C9B">
      <w:pPr>
        <w:pStyle w:val="Heading2"/>
        <w:jc w:val="center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  <w:highlight w:val="yellow"/>
        </w:rPr>
        <w:t>Part A: Teaching–Learning WITHOUT Design Thinking</w:t>
      </w:r>
    </w:p>
    <w:p w14:paraId="194CCF2E" w14:textId="77777777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Approach:</w:t>
      </w:r>
      <w:r w:rsidRPr="005723F6">
        <w:rPr>
          <w:sz w:val="24"/>
          <w:szCs w:val="24"/>
        </w:rPr>
        <w:br/>
        <w:t>- Fixed yearly and weekly lesson plans</w:t>
      </w:r>
      <w:r w:rsidRPr="005723F6">
        <w:rPr>
          <w:sz w:val="24"/>
          <w:szCs w:val="24"/>
        </w:rPr>
        <w:br/>
        <w:t>- Lecture-dominated classroom</w:t>
      </w:r>
      <w:r w:rsidRPr="005723F6">
        <w:rPr>
          <w:sz w:val="24"/>
          <w:szCs w:val="24"/>
        </w:rPr>
        <w:br/>
        <w:t>- Uniform pace for all learners</w:t>
      </w:r>
      <w:r w:rsidRPr="005723F6">
        <w:rPr>
          <w:sz w:val="24"/>
          <w:szCs w:val="24"/>
        </w:rPr>
        <w:br/>
        <w:t>- Summative, memory-based assessments</w:t>
      </w:r>
      <w:r w:rsidRPr="005723F6">
        <w:rPr>
          <w:sz w:val="24"/>
          <w:szCs w:val="24"/>
        </w:rPr>
        <w:br/>
      </w:r>
    </w:p>
    <w:p w14:paraId="32B4DDC5" w14:textId="77777777" w:rsidR="00946283" w:rsidRPr="005723F6" w:rsidRDefault="00000000">
      <w:pPr>
        <w:pStyle w:val="Heading3"/>
        <w:rPr>
          <w:sz w:val="24"/>
          <w:szCs w:val="24"/>
        </w:rPr>
      </w:pPr>
      <w:r w:rsidRPr="005723F6">
        <w:rPr>
          <w:sz w:val="24"/>
          <w:szCs w:val="24"/>
        </w:rPr>
        <w:t>Improvements Possible WITHOUT Design Thinking</w:t>
      </w:r>
    </w:p>
    <w:p w14:paraId="5FACA209" w14:textId="77777777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- Faster syllabus coverage</w:t>
      </w:r>
      <w:r w:rsidRPr="005723F6">
        <w:rPr>
          <w:sz w:val="24"/>
          <w:szCs w:val="24"/>
        </w:rPr>
        <w:br/>
        <w:t>- Administrative compliance</w:t>
      </w:r>
      <w:r w:rsidRPr="005723F6">
        <w:rPr>
          <w:sz w:val="24"/>
          <w:szCs w:val="24"/>
        </w:rPr>
        <w:br/>
        <w:t>- Short-term exam preparedness</w:t>
      </w:r>
      <w:r w:rsidRPr="005723F6">
        <w:rPr>
          <w:sz w:val="24"/>
          <w:szCs w:val="24"/>
        </w:rPr>
        <w:br/>
      </w:r>
    </w:p>
    <w:p w14:paraId="7CD11A71" w14:textId="77777777" w:rsidR="00946283" w:rsidRPr="005723F6" w:rsidRDefault="00000000">
      <w:pPr>
        <w:pStyle w:val="Heading3"/>
        <w:rPr>
          <w:sz w:val="24"/>
          <w:szCs w:val="24"/>
        </w:rPr>
      </w:pPr>
      <w:r w:rsidRPr="005723F6">
        <w:rPr>
          <w:sz w:val="24"/>
          <w:szCs w:val="24"/>
        </w:rPr>
        <w:t>Limitations &amp; Impact on Learning</w:t>
      </w:r>
    </w:p>
    <w:p w14:paraId="7CF065D2" w14:textId="77777777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- Learning restricted mostly to Bloom’s lower levels (Remember, Understand)</w:t>
      </w:r>
      <w:r w:rsidRPr="005723F6">
        <w:rPr>
          <w:sz w:val="24"/>
          <w:szCs w:val="24"/>
        </w:rPr>
        <w:br/>
        <w:t xml:space="preserve">- Minimal focus on Apply, Analyze, Evaluate, </w:t>
      </w:r>
      <w:proofErr w:type="gramStart"/>
      <w:r w:rsidRPr="005723F6">
        <w:rPr>
          <w:sz w:val="24"/>
          <w:szCs w:val="24"/>
        </w:rPr>
        <w:t>Create</w:t>
      </w:r>
      <w:proofErr w:type="gramEnd"/>
      <w:r w:rsidRPr="005723F6">
        <w:rPr>
          <w:sz w:val="24"/>
          <w:szCs w:val="24"/>
        </w:rPr>
        <w:br/>
        <w:t>- Ignores learner diversity (violates NEP 2020 learner-centric vision)</w:t>
      </w:r>
      <w:r w:rsidRPr="005723F6">
        <w:rPr>
          <w:sz w:val="24"/>
          <w:szCs w:val="24"/>
        </w:rPr>
        <w:br/>
        <w:t>- No personalization or competency-based progression</w:t>
      </w:r>
      <w:r w:rsidRPr="005723F6">
        <w:rPr>
          <w:sz w:val="24"/>
          <w:szCs w:val="24"/>
        </w:rPr>
        <w:br/>
        <w:t>- AI tools underutilized or used only for content delivery</w:t>
      </w:r>
      <w:r w:rsidRPr="005723F6">
        <w:rPr>
          <w:sz w:val="24"/>
          <w:szCs w:val="24"/>
        </w:rPr>
        <w:br/>
        <w:t>- Results remain inconsistent despite effort</w:t>
      </w:r>
      <w:r w:rsidRPr="005723F6">
        <w:rPr>
          <w:sz w:val="24"/>
          <w:szCs w:val="24"/>
        </w:rPr>
        <w:br/>
      </w:r>
    </w:p>
    <w:p w14:paraId="2D7F2466" w14:textId="77777777" w:rsidR="00946283" w:rsidRPr="005723F6" w:rsidRDefault="00000000" w:rsidP="00674C9B">
      <w:pPr>
        <w:pStyle w:val="Heading2"/>
        <w:jc w:val="center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  <w:highlight w:val="yellow"/>
        </w:rPr>
        <w:t>Part B: Teaching–Learning WITH Design Thinking</w:t>
      </w:r>
    </w:p>
    <w:p w14:paraId="01A42152" w14:textId="77777777" w:rsidR="00946283" w:rsidRPr="005723F6" w:rsidRDefault="00000000">
      <w:pPr>
        <w:rPr>
          <w:sz w:val="24"/>
          <w:szCs w:val="24"/>
        </w:rPr>
      </w:pPr>
      <w:r w:rsidRPr="005723F6">
        <w:rPr>
          <w:b/>
          <w:bCs/>
          <w:sz w:val="24"/>
          <w:szCs w:val="24"/>
          <w:u w:val="single"/>
        </w:rPr>
        <w:t>Design Thinking Goal:</w:t>
      </w:r>
      <w:r w:rsidRPr="005723F6">
        <w:rPr>
          <w:sz w:val="24"/>
          <w:szCs w:val="24"/>
        </w:rPr>
        <w:br/>
        <w:t>Understand the Problem Space → Explore the Solution Space</w:t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</w:rPr>
        <w:br/>
      </w:r>
      <w:r w:rsidRPr="005723F6">
        <w:rPr>
          <w:b/>
          <w:bCs/>
          <w:sz w:val="24"/>
          <w:szCs w:val="24"/>
          <w:u w:val="single"/>
        </w:rPr>
        <w:t>Phases Applied:</w:t>
      </w:r>
      <w:r w:rsidRPr="005723F6">
        <w:rPr>
          <w:sz w:val="24"/>
          <w:szCs w:val="24"/>
        </w:rPr>
        <w:br/>
        <w:t>Scope → Empathize → Define → Ideate → Prototype → Test → Implement</w:t>
      </w:r>
    </w:p>
    <w:p w14:paraId="109EE61D" w14:textId="77777777" w:rsidR="00946283" w:rsidRPr="005723F6" w:rsidRDefault="00000000">
      <w:pPr>
        <w:pStyle w:val="Heading3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</w:rPr>
        <w:lastRenderedPageBreak/>
        <w:t>Empathy &amp; Stakeholder Alignment (SIP)</w:t>
      </w:r>
    </w:p>
    <w:p w14:paraId="3AEE972A" w14:textId="38963EBF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- Primary Stakeholder: Students (learning needs, stress, motivation)</w:t>
      </w:r>
      <w:r w:rsidRPr="005723F6">
        <w:rPr>
          <w:sz w:val="24"/>
          <w:szCs w:val="24"/>
        </w:rPr>
        <w:br/>
        <w:t>- Secondary Stakeholders: Parents, Teachers</w:t>
      </w:r>
      <w:r w:rsidRPr="005723F6">
        <w:rPr>
          <w:sz w:val="24"/>
          <w:szCs w:val="24"/>
        </w:rPr>
        <w:br/>
      </w:r>
      <w:r w:rsidR="00BA1B26" w:rsidRPr="005723F6">
        <w:rPr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78AF1A10" wp14:editId="1A10290D">
            <wp:simplePos x="0" y="0"/>
            <wp:positionH relativeFrom="column">
              <wp:posOffset>1924050</wp:posOffset>
            </wp:positionH>
            <wp:positionV relativeFrom="paragraph">
              <wp:posOffset>-222250</wp:posOffset>
            </wp:positionV>
            <wp:extent cx="4338320" cy="8229600"/>
            <wp:effectExtent l="0" t="0" r="5080" b="0"/>
            <wp:wrapThrough wrapText="bothSides">
              <wp:wrapPolygon edited="0">
                <wp:start x="0" y="0"/>
                <wp:lineTo x="0" y="21550"/>
                <wp:lineTo x="21530" y="21550"/>
                <wp:lineTo x="21530" y="0"/>
                <wp:lineTo x="0" y="0"/>
              </wp:wrapPolygon>
            </wp:wrapThrough>
            <wp:docPr id="119181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15634" name="Picture 11918156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23F6">
        <w:rPr>
          <w:sz w:val="24"/>
          <w:szCs w:val="24"/>
        </w:rPr>
        <w:t>- High Power Stakeholders: Management, Education Board</w:t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</w:rPr>
        <w:br/>
        <w:t>Insight: High-interest stakeholders (students) needed greater voice in planning.</w:t>
      </w:r>
    </w:p>
    <w:p w14:paraId="4B3973CC" w14:textId="256F4426" w:rsidR="00BA1B26" w:rsidRPr="005723F6" w:rsidRDefault="00BA1B26">
      <w:pPr>
        <w:rPr>
          <w:sz w:val="24"/>
          <w:szCs w:val="24"/>
        </w:rPr>
      </w:pPr>
    </w:p>
    <w:p w14:paraId="6E2A072D" w14:textId="77777777" w:rsidR="00946283" w:rsidRPr="005723F6" w:rsidRDefault="00000000">
      <w:pPr>
        <w:pStyle w:val="Heading3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</w:rPr>
        <w:t>Improvements WITH Design Thinking</w:t>
      </w:r>
    </w:p>
    <w:p w14:paraId="5D62347E" w14:textId="77777777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  <w:u w:val="single"/>
        </w:rPr>
        <w:t>1. Alignment with NEP 2020:</w:t>
      </w:r>
      <w:r w:rsidRPr="005723F6">
        <w:rPr>
          <w:sz w:val="24"/>
          <w:szCs w:val="24"/>
        </w:rPr>
        <w:br/>
        <w:t>- Shift from rote learning to competency-based education</w:t>
      </w:r>
      <w:r w:rsidRPr="005723F6">
        <w:rPr>
          <w:sz w:val="24"/>
          <w:szCs w:val="24"/>
        </w:rPr>
        <w:br/>
        <w:t>- Learner-centric and flexible pedagogy</w:t>
      </w:r>
      <w:r w:rsidRPr="005723F6">
        <w:rPr>
          <w:sz w:val="24"/>
          <w:szCs w:val="24"/>
        </w:rPr>
        <w:br/>
        <w:t>- Continuous formative assessment</w:t>
      </w:r>
      <w:r w:rsidRPr="005723F6">
        <w:rPr>
          <w:sz w:val="24"/>
          <w:szCs w:val="24"/>
        </w:rPr>
        <w:br/>
        <w:t>- Focus on critical thinking, creativity, and well-being</w:t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  <w:u w:val="single"/>
        </w:rPr>
        <w:t>2. Alignment with Bloom’s Taxonomy:</w:t>
      </w:r>
      <w:r w:rsidRPr="005723F6">
        <w:rPr>
          <w:sz w:val="24"/>
          <w:szCs w:val="24"/>
        </w:rPr>
        <w:br/>
        <w:t>- Remember &amp; Understand: AI-powered micro-content</w:t>
      </w:r>
      <w:r w:rsidRPr="005723F6">
        <w:rPr>
          <w:sz w:val="24"/>
          <w:szCs w:val="24"/>
        </w:rPr>
        <w:br/>
        <w:t>- Apply &amp; Analyze: Case studies, simulations, problem-based tasks</w:t>
      </w:r>
      <w:r w:rsidRPr="005723F6">
        <w:rPr>
          <w:sz w:val="24"/>
          <w:szCs w:val="24"/>
        </w:rPr>
        <w:br/>
        <w:t xml:space="preserve">- Evaluate: Peer </w:t>
      </w:r>
      <w:r w:rsidRPr="005723F6">
        <w:rPr>
          <w:sz w:val="24"/>
          <w:szCs w:val="24"/>
        </w:rPr>
        <w:lastRenderedPageBreak/>
        <w:t>assessment, reflective questioning</w:t>
      </w:r>
      <w:r w:rsidRPr="005723F6">
        <w:rPr>
          <w:sz w:val="24"/>
          <w:szCs w:val="24"/>
        </w:rPr>
        <w:br/>
        <w:t>- Create: Projects, presentations, AI-supported content creation</w:t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</w:rPr>
        <w:br/>
      </w:r>
      <w:r w:rsidRPr="005723F6">
        <w:rPr>
          <w:sz w:val="24"/>
          <w:szCs w:val="24"/>
          <w:u w:val="single"/>
        </w:rPr>
        <w:t>3. Use of AI Tools:</w:t>
      </w:r>
      <w:r w:rsidRPr="005723F6">
        <w:rPr>
          <w:sz w:val="24"/>
          <w:szCs w:val="24"/>
        </w:rPr>
        <w:br/>
        <w:t>- AI lesson planners for outcome-based teaching</w:t>
      </w:r>
      <w:r w:rsidRPr="005723F6">
        <w:rPr>
          <w:sz w:val="24"/>
          <w:szCs w:val="24"/>
        </w:rPr>
        <w:br/>
        <w:t>- Adaptive quizzes to identify learning gaps</w:t>
      </w:r>
      <w:r w:rsidRPr="005723F6">
        <w:rPr>
          <w:sz w:val="24"/>
          <w:szCs w:val="24"/>
        </w:rPr>
        <w:br/>
        <w:t>- AI analytics for tracking progress</w:t>
      </w:r>
      <w:r w:rsidRPr="005723F6">
        <w:rPr>
          <w:sz w:val="24"/>
          <w:szCs w:val="24"/>
        </w:rPr>
        <w:br/>
        <w:t>- Chatbots and tutors for personalized support</w:t>
      </w:r>
      <w:r w:rsidRPr="005723F6">
        <w:rPr>
          <w:sz w:val="24"/>
          <w:szCs w:val="24"/>
        </w:rPr>
        <w:br/>
      </w:r>
    </w:p>
    <w:p w14:paraId="1B84BC63" w14:textId="77777777" w:rsidR="00946283" w:rsidRPr="005723F6" w:rsidRDefault="00000000">
      <w:pPr>
        <w:pStyle w:val="Heading3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</w:rPr>
        <w:t>Prototype &amp; Validation</w:t>
      </w:r>
    </w:p>
    <w:p w14:paraId="4E3BEA0C" w14:textId="77777777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- Concept-wise micro lesson plans</w:t>
      </w:r>
      <w:r w:rsidRPr="005723F6">
        <w:rPr>
          <w:sz w:val="24"/>
          <w:szCs w:val="24"/>
        </w:rPr>
        <w:br/>
        <w:t>- AI-based formative assessments</w:t>
      </w:r>
      <w:r w:rsidRPr="005723F6">
        <w:rPr>
          <w:sz w:val="24"/>
          <w:szCs w:val="24"/>
        </w:rPr>
        <w:br/>
        <w:t>- Student feedback and reflection journals</w:t>
      </w:r>
      <w:r w:rsidRPr="005723F6">
        <w:rPr>
          <w:sz w:val="24"/>
          <w:szCs w:val="24"/>
        </w:rPr>
        <w:br/>
        <w:t>- Comparison of pre-test and post-test performance</w:t>
      </w:r>
      <w:r w:rsidRPr="005723F6">
        <w:rPr>
          <w:sz w:val="24"/>
          <w:szCs w:val="24"/>
        </w:rPr>
        <w:br/>
      </w:r>
    </w:p>
    <w:p w14:paraId="6B8E9E28" w14:textId="77777777" w:rsidR="00946283" w:rsidRPr="005723F6" w:rsidRDefault="00000000">
      <w:pPr>
        <w:pStyle w:val="Heading3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</w:rPr>
        <w:t>Observed Improvements (With Design Thinking)</w:t>
      </w:r>
    </w:p>
    <w:p w14:paraId="59564F87" w14:textId="77777777" w:rsidR="00946283" w:rsidRPr="005723F6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- Improved conceptual clarity and retention</w:t>
      </w:r>
      <w:r w:rsidRPr="005723F6">
        <w:rPr>
          <w:sz w:val="24"/>
          <w:szCs w:val="24"/>
        </w:rPr>
        <w:br/>
        <w:t>- Enhanced student engagement and confidence</w:t>
      </w:r>
      <w:r w:rsidRPr="005723F6">
        <w:rPr>
          <w:sz w:val="24"/>
          <w:szCs w:val="24"/>
        </w:rPr>
        <w:br/>
        <w:t>- Movement towards higher-order thinking skills</w:t>
      </w:r>
      <w:r w:rsidRPr="005723F6">
        <w:rPr>
          <w:sz w:val="24"/>
          <w:szCs w:val="24"/>
        </w:rPr>
        <w:br/>
        <w:t>- Reduced stress and better classroom inclusivity</w:t>
      </w:r>
      <w:r w:rsidRPr="005723F6">
        <w:rPr>
          <w:sz w:val="24"/>
          <w:szCs w:val="24"/>
        </w:rPr>
        <w:br/>
        <w:t>- Improved academic performance without compromising syllabus timelines</w:t>
      </w:r>
      <w:r w:rsidRPr="005723F6">
        <w:rPr>
          <w:sz w:val="24"/>
          <w:szCs w:val="24"/>
        </w:rPr>
        <w:br/>
      </w:r>
    </w:p>
    <w:p w14:paraId="5F35D691" w14:textId="77777777" w:rsidR="00946283" w:rsidRDefault="00000000">
      <w:pPr>
        <w:pStyle w:val="Heading2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</w:rPr>
        <w:t>Comparative Summary: With vs Without Design Thinking</w:t>
      </w:r>
    </w:p>
    <w:p w14:paraId="3142CF6D" w14:textId="77777777" w:rsidR="005723F6" w:rsidRPr="005723F6" w:rsidRDefault="005723F6" w:rsidP="005723F6"/>
    <w:tbl>
      <w:tblPr>
        <w:tblStyle w:val="GridTable5Dark-Accent3"/>
        <w:tblW w:w="9648" w:type="dxa"/>
        <w:tblLook w:val="04A0" w:firstRow="1" w:lastRow="0" w:firstColumn="1" w:lastColumn="0" w:noHBand="0" w:noVBand="1"/>
      </w:tblPr>
      <w:tblGrid>
        <w:gridCol w:w="2628"/>
        <w:gridCol w:w="3060"/>
        <w:gridCol w:w="3960"/>
      </w:tblGrid>
      <w:tr w:rsidR="005723F6" w:rsidRPr="005723F6" w14:paraId="2F0D5088" w14:textId="77777777" w:rsidTr="00572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2F75616D" w14:textId="77777777" w:rsidR="00946283" w:rsidRPr="005723F6" w:rsidRDefault="00000000" w:rsidP="005723F6">
            <w:pPr>
              <w:jc w:val="center"/>
              <w:rPr>
                <w:color w:val="EEECE1" w:themeColor="background2"/>
                <w:sz w:val="24"/>
                <w:szCs w:val="24"/>
              </w:rPr>
            </w:pPr>
            <w:r w:rsidRPr="005723F6">
              <w:rPr>
                <w:color w:val="EEECE1" w:themeColor="background2"/>
                <w:sz w:val="24"/>
                <w:szCs w:val="24"/>
              </w:rPr>
              <w:t>Aspect</w:t>
            </w:r>
          </w:p>
        </w:tc>
        <w:tc>
          <w:tcPr>
            <w:tcW w:w="3060" w:type="dxa"/>
          </w:tcPr>
          <w:p w14:paraId="452769E4" w14:textId="77777777" w:rsidR="00946283" w:rsidRPr="005723F6" w:rsidRDefault="00000000" w:rsidP="005723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ECE1" w:themeColor="background2"/>
                <w:sz w:val="24"/>
                <w:szCs w:val="24"/>
              </w:rPr>
            </w:pPr>
            <w:r w:rsidRPr="005723F6">
              <w:rPr>
                <w:color w:val="EEECE1" w:themeColor="background2"/>
                <w:sz w:val="24"/>
                <w:szCs w:val="24"/>
              </w:rPr>
              <w:t>Without Design Thinking</w:t>
            </w:r>
          </w:p>
        </w:tc>
        <w:tc>
          <w:tcPr>
            <w:tcW w:w="3960" w:type="dxa"/>
          </w:tcPr>
          <w:p w14:paraId="14161AC2" w14:textId="77777777" w:rsidR="00946283" w:rsidRPr="005723F6" w:rsidRDefault="00000000" w:rsidP="005723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ECE1" w:themeColor="background2"/>
                <w:sz w:val="24"/>
                <w:szCs w:val="24"/>
              </w:rPr>
            </w:pPr>
            <w:r w:rsidRPr="005723F6">
              <w:rPr>
                <w:color w:val="EEECE1" w:themeColor="background2"/>
                <w:sz w:val="24"/>
                <w:szCs w:val="24"/>
              </w:rPr>
              <w:t>With Design Thinking</w:t>
            </w:r>
          </w:p>
        </w:tc>
      </w:tr>
      <w:tr w:rsidR="005723F6" w:rsidRPr="005723F6" w14:paraId="323619EF" w14:textId="77777777" w:rsidTr="00572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2CD732E5" w14:textId="77777777" w:rsidR="00946283" w:rsidRPr="005723F6" w:rsidRDefault="00000000">
            <w:pPr>
              <w:rPr>
                <w:color w:val="auto"/>
                <w:sz w:val="24"/>
                <w:szCs w:val="24"/>
              </w:rPr>
            </w:pPr>
            <w:r w:rsidRPr="005723F6">
              <w:rPr>
                <w:color w:val="auto"/>
                <w:sz w:val="24"/>
                <w:szCs w:val="24"/>
              </w:rPr>
              <w:t>Focus</w:t>
            </w:r>
          </w:p>
        </w:tc>
        <w:tc>
          <w:tcPr>
            <w:tcW w:w="3060" w:type="dxa"/>
          </w:tcPr>
          <w:p w14:paraId="56C84B97" w14:textId="77777777" w:rsidR="00946283" w:rsidRPr="005723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Syllabus completion</w:t>
            </w:r>
          </w:p>
        </w:tc>
        <w:tc>
          <w:tcPr>
            <w:tcW w:w="3960" w:type="dxa"/>
          </w:tcPr>
          <w:p w14:paraId="5D08B5DF" w14:textId="77777777" w:rsidR="00946283" w:rsidRPr="005723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Learning outcomes &amp; competencies</w:t>
            </w:r>
          </w:p>
        </w:tc>
      </w:tr>
      <w:tr w:rsidR="005723F6" w:rsidRPr="005723F6" w14:paraId="636B4290" w14:textId="77777777" w:rsidTr="005723F6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608DAB35" w14:textId="77777777" w:rsidR="00946283" w:rsidRPr="005723F6" w:rsidRDefault="00000000">
            <w:pPr>
              <w:rPr>
                <w:color w:val="auto"/>
                <w:sz w:val="24"/>
                <w:szCs w:val="24"/>
              </w:rPr>
            </w:pPr>
            <w:r w:rsidRPr="005723F6">
              <w:rPr>
                <w:color w:val="auto"/>
                <w:sz w:val="24"/>
                <w:szCs w:val="24"/>
              </w:rPr>
              <w:t>Bloom’s Levels</w:t>
            </w:r>
          </w:p>
        </w:tc>
        <w:tc>
          <w:tcPr>
            <w:tcW w:w="3060" w:type="dxa"/>
          </w:tcPr>
          <w:p w14:paraId="35EDF1BD" w14:textId="77777777" w:rsidR="00946283" w:rsidRPr="005723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Lower levels</w:t>
            </w:r>
          </w:p>
        </w:tc>
        <w:tc>
          <w:tcPr>
            <w:tcW w:w="3960" w:type="dxa"/>
          </w:tcPr>
          <w:p w14:paraId="045F9F34" w14:textId="77777777" w:rsidR="00946283" w:rsidRPr="005723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All levels incl. Create</w:t>
            </w:r>
          </w:p>
        </w:tc>
      </w:tr>
      <w:tr w:rsidR="005723F6" w:rsidRPr="005723F6" w14:paraId="06FEF459" w14:textId="77777777" w:rsidTr="00572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24E582C1" w14:textId="77777777" w:rsidR="00946283" w:rsidRPr="005723F6" w:rsidRDefault="00000000">
            <w:pPr>
              <w:rPr>
                <w:color w:val="auto"/>
                <w:sz w:val="24"/>
                <w:szCs w:val="24"/>
              </w:rPr>
            </w:pPr>
            <w:r w:rsidRPr="005723F6">
              <w:rPr>
                <w:color w:val="auto"/>
                <w:sz w:val="24"/>
                <w:szCs w:val="24"/>
              </w:rPr>
              <w:t>NEP 2020 Alignment</w:t>
            </w:r>
          </w:p>
        </w:tc>
        <w:tc>
          <w:tcPr>
            <w:tcW w:w="3060" w:type="dxa"/>
          </w:tcPr>
          <w:p w14:paraId="13D5E3EF" w14:textId="77777777" w:rsidR="00946283" w:rsidRPr="005723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Low</w:t>
            </w:r>
          </w:p>
        </w:tc>
        <w:tc>
          <w:tcPr>
            <w:tcW w:w="3960" w:type="dxa"/>
          </w:tcPr>
          <w:p w14:paraId="0F95F5AF" w14:textId="77777777" w:rsidR="00946283" w:rsidRPr="005723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High</w:t>
            </w:r>
          </w:p>
        </w:tc>
      </w:tr>
      <w:tr w:rsidR="005723F6" w:rsidRPr="005723F6" w14:paraId="15256D2E" w14:textId="77777777" w:rsidTr="005723F6">
        <w:trPr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7DF0AF87" w14:textId="77777777" w:rsidR="00946283" w:rsidRPr="005723F6" w:rsidRDefault="00000000">
            <w:pPr>
              <w:rPr>
                <w:color w:val="auto"/>
                <w:sz w:val="24"/>
                <w:szCs w:val="24"/>
              </w:rPr>
            </w:pPr>
            <w:r w:rsidRPr="005723F6">
              <w:rPr>
                <w:color w:val="auto"/>
                <w:sz w:val="24"/>
                <w:szCs w:val="24"/>
              </w:rPr>
              <w:t>Role of AI</w:t>
            </w:r>
          </w:p>
        </w:tc>
        <w:tc>
          <w:tcPr>
            <w:tcW w:w="3060" w:type="dxa"/>
          </w:tcPr>
          <w:p w14:paraId="158ACCE6" w14:textId="77777777" w:rsidR="00946283" w:rsidRPr="005723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Content delivery</w:t>
            </w:r>
          </w:p>
        </w:tc>
        <w:tc>
          <w:tcPr>
            <w:tcW w:w="3960" w:type="dxa"/>
          </w:tcPr>
          <w:p w14:paraId="08E35AF7" w14:textId="77777777" w:rsidR="00946283" w:rsidRPr="005723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Personalization &amp; analytics</w:t>
            </w:r>
          </w:p>
        </w:tc>
      </w:tr>
      <w:tr w:rsidR="005723F6" w:rsidRPr="005723F6" w14:paraId="09A01C9A" w14:textId="77777777" w:rsidTr="00572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57DA4112" w14:textId="77777777" w:rsidR="00946283" w:rsidRPr="005723F6" w:rsidRDefault="00000000">
            <w:pPr>
              <w:rPr>
                <w:color w:val="auto"/>
                <w:sz w:val="24"/>
                <w:szCs w:val="24"/>
              </w:rPr>
            </w:pPr>
            <w:r w:rsidRPr="005723F6">
              <w:rPr>
                <w:color w:val="auto"/>
                <w:sz w:val="24"/>
                <w:szCs w:val="24"/>
              </w:rPr>
              <w:t>Student Engagement</w:t>
            </w:r>
          </w:p>
        </w:tc>
        <w:tc>
          <w:tcPr>
            <w:tcW w:w="3060" w:type="dxa"/>
          </w:tcPr>
          <w:p w14:paraId="6AFF34B1" w14:textId="77777777" w:rsidR="00946283" w:rsidRPr="005723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Low to moderate</w:t>
            </w:r>
          </w:p>
        </w:tc>
        <w:tc>
          <w:tcPr>
            <w:tcW w:w="3960" w:type="dxa"/>
          </w:tcPr>
          <w:p w14:paraId="5B954C61" w14:textId="77777777" w:rsidR="00946283" w:rsidRPr="005723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High</w:t>
            </w:r>
          </w:p>
        </w:tc>
      </w:tr>
      <w:tr w:rsidR="005723F6" w:rsidRPr="005723F6" w14:paraId="5BA0118F" w14:textId="77777777" w:rsidTr="005723F6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5E7600FB" w14:textId="77777777" w:rsidR="00946283" w:rsidRPr="005723F6" w:rsidRDefault="00000000">
            <w:pPr>
              <w:rPr>
                <w:color w:val="auto"/>
                <w:sz w:val="24"/>
                <w:szCs w:val="24"/>
              </w:rPr>
            </w:pPr>
            <w:r w:rsidRPr="005723F6">
              <w:rPr>
                <w:color w:val="auto"/>
                <w:sz w:val="24"/>
                <w:szCs w:val="24"/>
              </w:rPr>
              <w:t>Performance Outcome</w:t>
            </w:r>
          </w:p>
        </w:tc>
        <w:tc>
          <w:tcPr>
            <w:tcW w:w="3060" w:type="dxa"/>
          </w:tcPr>
          <w:p w14:paraId="7010907F" w14:textId="77777777" w:rsidR="00946283" w:rsidRPr="005723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Inconsistent</w:t>
            </w:r>
          </w:p>
        </w:tc>
        <w:tc>
          <w:tcPr>
            <w:tcW w:w="3960" w:type="dxa"/>
          </w:tcPr>
          <w:p w14:paraId="468446E1" w14:textId="77777777" w:rsidR="00946283" w:rsidRPr="005723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723F6">
              <w:rPr>
                <w:sz w:val="24"/>
                <w:szCs w:val="24"/>
              </w:rPr>
              <w:t>Improved &amp; sustainable</w:t>
            </w:r>
          </w:p>
        </w:tc>
      </w:tr>
    </w:tbl>
    <w:p w14:paraId="26CE8367" w14:textId="77777777" w:rsidR="00946283" w:rsidRPr="005723F6" w:rsidRDefault="00000000">
      <w:pPr>
        <w:pStyle w:val="Heading2"/>
        <w:rPr>
          <w:color w:val="auto"/>
          <w:sz w:val="24"/>
          <w:szCs w:val="24"/>
        </w:rPr>
      </w:pPr>
      <w:r w:rsidRPr="005723F6">
        <w:rPr>
          <w:color w:val="auto"/>
          <w:sz w:val="24"/>
          <w:szCs w:val="24"/>
        </w:rPr>
        <w:lastRenderedPageBreak/>
        <w:t>Conclusion</w:t>
      </w:r>
    </w:p>
    <w:p w14:paraId="5B93C1D6" w14:textId="77777777" w:rsidR="00946283" w:rsidRDefault="00000000">
      <w:pPr>
        <w:rPr>
          <w:sz w:val="24"/>
          <w:szCs w:val="24"/>
        </w:rPr>
      </w:pPr>
      <w:r w:rsidRPr="005723F6">
        <w:rPr>
          <w:sz w:val="24"/>
          <w:szCs w:val="24"/>
        </w:rPr>
        <w:t>Design Thinking transformed the teaching–learning process from a coverage-driven model to a learner-centric, outcome-oriented system. When integrated with NEP 2020 principles, Bloom’s Taxonomy, and AI tools, it ensured both syllabus completion and meaningful learning, leading to sustainable academic improvement.</w:t>
      </w:r>
    </w:p>
    <w:p w14:paraId="6EE15D1F" w14:textId="77777777" w:rsidR="005723F6" w:rsidRDefault="005723F6" w:rsidP="005723F6">
      <w:pPr>
        <w:jc w:val="center"/>
        <w:rPr>
          <w:sz w:val="24"/>
          <w:szCs w:val="24"/>
        </w:rPr>
      </w:pPr>
    </w:p>
    <w:p w14:paraId="618129E8" w14:textId="77777777" w:rsidR="005723F6" w:rsidRDefault="005723F6" w:rsidP="005723F6">
      <w:pPr>
        <w:jc w:val="center"/>
        <w:rPr>
          <w:sz w:val="24"/>
          <w:szCs w:val="24"/>
        </w:rPr>
      </w:pPr>
    </w:p>
    <w:p w14:paraId="2D5B45AA" w14:textId="56BE66F8" w:rsidR="005723F6" w:rsidRPr="005723F6" w:rsidRDefault="005723F6" w:rsidP="005723F6">
      <w:pPr>
        <w:jc w:val="center"/>
        <w:rPr>
          <w:sz w:val="24"/>
          <w:szCs w:val="24"/>
        </w:rPr>
      </w:pPr>
      <w:r>
        <w:rPr>
          <w:sz w:val="24"/>
          <w:szCs w:val="24"/>
        </w:rPr>
        <w:t>*****************</w:t>
      </w:r>
    </w:p>
    <w:sectPr w:rsidR="005723F6" w:rsidRPr="005723F6" w:rsidSect="005723F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449548">
    <w:abstractNumId w:val="8"/>
  </w:num>
  <w:num w:numId="2" w16cid:durableId="215433266">
    <w:abstractNumId w:val="6"/>
  </w:num>
  <w:num w:numId="3" w16cid:durableId="475339832">
    <w:abstractNumId w:val="5"/>
  </w:num>
  <w:num w:numId="4" w16cid:durableId="2096585825">
    <w:abstractNumId w:val="4"/>
  </w:num>
  <w:num w:numId="5" w16cid:durableId="1536577105">
    <w:abstractNumId w:val="7"/>
  </w:num>
  <w:num w:numId="6" w16cid:durableId="1466584093">
    <w:abstractNumId w:val="3"/>
  </w:num>
  <w:num w:numId="7" w16cid:durableId="247272748">
    <w:abstractNumId w:val="2"/>
  </w:num>
  <w:num w:numId="8" w16cid:durableId="2031293454">
    <w:abstractNumId w:val="1"/>
  </w:num>
  <w:num w:numId="9" w16cid:durableId="515656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846"/>
    <w:rsid w:val="005723F6"/>
    <w:rsid w:val="00674C9B"/>
    <w:rsid w:val="00946283"/>
    <w:rsid w:val="00AA1D8D"/>
    <w:rsid w:val="00B47730"/>
    <w:rsid w:val="00BA1B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362C5"/>
  <w14:defaultImageDpi w14:val="300"/>
  <w15:docId w15:val="{DAED777B-17A3-4296-929A-B98FD2CB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">
    <w:name w:val="Grid Table 5 Dark"/>
    <w:basedOn w:val="TableNormal"/>
    <w:uiPriority w:val="50"/>
    <w:rsid w:val="005723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5723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481</Words>
  <Characters>3097</Characters>
  <Application>Microsoft Office Word</Application>
  <DocSecurity>0</DocSecurity>
  <Lines>103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Sandhya Jagtap</cp:lastModifiedBy>
  <cp:revision>2</cp:revision>
  <cp:lastPrinted>2026-01-03T21:13:00Z</cp:lastPrinted>
  <dcterms:created xsi:type="dcterms:W3CDTF">2013-12-23T23:15:00Z</dcterms:created>
  <dcterms:modified xsi:type="dcterms:W3CDTF">2026-01-03T21:14:00Z</dcterms:modified>
  <cp:category/>
</cp:coreProperties>
</file>