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71F" w14:paraId="135C83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A6E"/>
            <w:tcMar>
              <w:top w:w="480" w:type="dxa"/>
              <w:left w:w="360" w:type="dxa"/>
              <w:bottom w:w="480" w:type="dxa"/>
              <w:right w:w="360" w:type="dxa"/>
            </w:tcMar>
          </w:tcPr>
          <w:p w14:paraId="4C4C72C2" w14:textId="77777777" w:rsidR="009B771F" w:rsidRDefault="00C825F2">
            <w:pPr>
              <w:spacing w:after="80"/>
            </w:pPr>
            <w:r>
              <w:rPr>
                <w:b/>
                <w:bCs/>
                <w:color w:val="FFFFFF"/>
                <w:sz w:val="52"/>
                <w:szCs w:val="52"/>
              </w:rPr>
              <w:t>RETENTION PLAYBOOK</w:t>
            </w:r>
          </w:p>
          <w:p w14:paraId="1A2EE038" w14:textId="17B2A10C" w:rsidR="009B771F" w:rsidRDefault="00C825F2" w:rsidP="00772E2D">
            <w:pPr>
              <w:spacing w:after="80"/>
            </w:pPr>
            <w:r>
              <w:rPr>
                <w:i/>
                <w:iCs/>
                <w:color w:val="A8C4E8"/>
                <w:sz w:val="28"/>
                <w:szCs w:val="28"/>
              </w:rPr>
              <w:t>Business Recommendations &amp; Strategic Insights</w:t>
            </w:r>
          </w:p>
        </w:tc>
      </w:tr>
    </w:tbl>
    <w:p w14:paraId="5F2DF0C9" w14:textId="77777777" w:rsidR="009B771F" w:rsidRDefault="009B771F">
      <w:pPr>
        <w:spacing w:after="200"/>
      </w:pPr>
    </w:p>
    <w:p w14:paraId="007B31B4" w14:textId="77777777" w:rsidR="009B771F" w:rsidRDefault="00C825F2">
      <w:pPr>
        <w:pStyle w:val="Heading1"/>
      </w:pPr>
      <w:r>
        <w:t>Executive Summary</w:t>
      </w:r>
    </w:p>
    <w:p w14:paraId="404ADCB5" w14:textId="00B6BDC4" w:rsidR="009B771F" w:rsidRDefault="00772E2D">
      <w:pPr>
        <w:spacing w:after="80"/>
      </w:pPr>
      <w:r w:rsidRPr="00772E2D">
        <w:t xml:space="preserve">This playbook takes what we've learned from the customer analytics dashboard and turns it into clear action: a plan to phase out certain promotions and a definition of our Ideal Customer Profile. Every recommendation </w:t>
      </w:r>
      <w:r>
        <w:t>tells us</w:t>
      </w:r>
      <w:r w:rsidRPr="00772E2D">
        <w:t xml:space="preserve"> exactly what we’re giving up and what we gain, so </w:t>
      </w:r>
      <w:r>
        <w:t>we</w:t>
      </w:r>
      <w:r w:rsidRPr="00772E2D">
        <w:t xml:space="preserve"> can actually weigh the risks and rewards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71F" w14:paraId="18073E18"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D6E4F7"/>
            <w:tcMar>
              <w:top w:w="120" w:type="dxa"/>
              <w:left w:w="180" w:type="dxa"/>
              <w:bottom w:w="120" w:type="dxa"/>
              <w:right w:w="180" w:type="dxa"/>
            </w:tcMar>
          </w:tcPr>
          <w:p w14:paraId="1301EB54" w14:textId="77777777" w:rsidR="009B771F" w:rsidRDefault="00C825F2">
            <w:pPr>
              <w:spacing w:before="160" w:after="60"/>
            </w:pPr>
            <w:r>
              <w:rPr>
                <w:b/>
                <w:bCs/>
                <w:color w:val="2E5FA3"/>
                <w:sz w:val="22"/>
                <w:szCs w:val="22"/>
              </w:rPr>
              <w:t>Data Foundation</w:t>
            </w:r>
          </w:p>
          <w:p w14:paraId="4BADAFF6" w14:textId="77777777" w:rsidR="009B771F" w:rsidRDefault="00C825F2">
            <w:pPr>
              <w:spacing w:before="60" w:after="60"/>
            </w:pPr>
            <w:r>
              <w:t>The Power BI dashboard tracks four core measurement pillars across customer segments:</w:t>
            </w:r>
          </w:p>
          <w:p w14:paraId="61443DEB" w14:textId="55ACE793" w:rsidR="009B771F" w:rsidRDefault="00C825F2">
            <w:pPr>
              <w:pStyle w:val="ListParagraph"/>
              <w:numPr>
                <w:ilvl w:val="0"/>
                <w:numId w:val="2"/>
              </w:numPr>
              <w:spacing w:before="40" w:after="40"/>
            </w:pPr>
            <w:r>
              <w:t xml:space="preserve">Discount Reliance Ratio (DRR) </w:t>
            </w:r>
            <w:r w:rsidR="00772E2D">
              <w:t>-</w:t>
            </w:r>
            <w:r>
              <w:t xml:space="preserve"> share of revenue generated only under promotional conditions</w:t>
            </w:r>
          </w:p>
          <w:p w14:paraId="12083A23" w14:textId="24EBDB6F" w:rsidR="009B771F" w:rsidRDefault="00C825F2">
            <w:pPr>
              <w:pStyle w:val="ListParagraph"/>
              <w:numPr>
                <w:ilvl w:val="0"/>
                <w:numId w:val="2"/>
              </w:numPr>
              <w:spacing w:before="40" w:after="40"/>
            </w:pPr>
            <w:r>
              <w:t xml:space="preserve">Average Customer Value (ACV) </w:t>
            </w:r>
            <w:r w:rsidR="00772E2D">
              <w:t xml:space="preserve">- </w:t>
            </w:r>
            <w:r>
              <w:t>lifetime or period revenue per customer</w:t>
            </w:r>
          </w:p>
          <w:p w14:paraId="60AB1B6B" w14:textId="074DEB3F" w:rsidR="009B771F" w:rsidRDefault="00C825F2">
            <w:pPr>
              <w:pStyle w:val="ListParagraph"/>
              <w:numPr>
                <w:ilvl w:val="0"/>
                <w:numId w:val="2"/>
              </w:numPr>
              <w:spacing w:before="40" w:after="40"/>
            </w:pPr>
            <w:r>
              <w:t xml:space="preserve">Revenue Contribution % </w:t>
            </w:r>
            <w:r w:rsidR="00772E2D">
              <w:t xml:space="preserve">- </w:t>
            </w:r>
            <w:r>
              <w:t>each customer type's share of total brand revenue</w:t>
            </w:r>
          </w:p>
          <w:p w14:paraId="1F47B562" w14:textId="53469306" w:rsidR="009B771F" w:rsidRDefault="00C825F2">
            <w:pPr>
              <w:pStyle w:val="ListParagraph"/>
              <w:numPr>
                <w:ilvl w:val="0"/>
                <w:numId w:val="2"/>
              </w:numPr>
              <w:spacing w:before="40" w:after="40"/>
            </w:pPr>
            <w:r>
              <w:t xml:space="preserve">Entry Point % vs. Retention % by category </w:t>
            </w:r>
            <w:r w:rsidR="00772E2D">
              <w:t xml:space="preserve">- </w:t>
            </w:r>
            <w:r>
              <w:t>which product categories attract vs. keep customers</w:t>
            </w:r>
          </w:p>
          <w:p w14:paraId="1D063E74" w14:textId="55831D6D" w:rsidR="009B771F" w:rsidRDefault="00C825F2">
            <w:pPr>
              <w:pStyle w:val="ListParagraph"/>
              <w:numPr>
                <w:ilvl w:val="0"/>
                <w:numId w:val="2"/>
              </w:numPr>
              <w:spacing w:before="40" w:after="40"/>
            </w:pPr>
            <w:r>
              <w:t xml:space="preserve">Brand Pull Index by location </w:t>
            </w:r>
            <w:r w:rsidR="00772E2D">
              <w:t xml:space="preserve">- </w:t>
            </w:r>
            <w:r>
              <w:t>organic demand strength without discounts</w:t>
            </w:r>
          </w:p>
          <w:p w14:paraId="1396B76B" w14:textId="220CCD0B" w:rsidR="009B771F" w:rsidRDefault="00C825F2">
            <w:pPr>
              <w:pStyle w:val="ListParagraph"/>
              <w:numPr>
                <w:ilvl w:val="0"/>
                <w:numId w:val="2"/>
              </w:numPr>
              <w:spacing w:before="40" w:after="40"/>
            </w:pPr>
            <w:r>
              <w:t xml:space="preserve">Total Spend </w:t>
            </w:r>
            <w:r w:rsidR="00772E2D">
              <w:t xml:space="preserve">- </w:t>
            </w:r>
            <w:r>
              <w:t>absolute revenue volume by segment and geography</w:t>
            </w:r>
          </w:p>
        </w:tc>
      </w:tr>
    </w:tbl>
    <w:p w14:paraId="68E5D75D" w14:textId="77777777" w:rsidR="009B771F" w:rsidRDefault="009B771F">
      <w:pPr>
        <w:spacing w:after="120"/>
      </w:pPr>
    </w:p>
    <w:p w14:paraId="5483F0E9" w14:textId="77777777" w:rsidR="009B771F" w:rsidRDefault="00C825F2">
      <w:pPr>
        <w:pStyle w:val="Heading1"/>
      </w:pPr>
      <w:r>
        <w:t>Section 1: Promotional Sunset Plan</w:t>
      </w:r>
    </w:p>
    <w:p w14:paraId="69A90491" w14:textId="150FDA4F" w:rsidR="009B771F" w:rsidRDefault="00772E2D">
      <w:pPr>
        <w:spacing w:after="60"/>
      </w:pPr>
      <w:r w:rsidRPr="00772E2D">
        <w:t>We’re looking to figure out which customer groups to stop discounting, why it makes sense, and what that’ll do to our margins. For each group, we lay out a step-by-step timeline, what triggers the next phase, and how we’ll measure progress along the way.</w:t>
      </w:r>
    </w:p>
    <w:p w14:paraId="54084DD6" w14:textId="79C428B1" w:rsidR="009B771F" w:rsidRDefault="00C825F2" w:rsidP="00772E2D">
      <w:pPr>
        <w:pStyle w:val="Heading2"/>
        <w:pBdr>
          <w:bottom w:val="single" w:sz="4" w:space="2" w:color="2E5FA3"/>
        </w:pBdr>
      </w:pPr>
      <w:proofErr w:type="gramStart"/>
      <w:r>
        <w:t>1.1  Segments</w:t>
      </w:r>
      <w:proofErr w:type="gramEnd"/>
      <w:r>
        <w:t xml:space="preserve"> Targeted for Discount Sunset</w:t>
      </w:r>
    </w:p>
    <w:p w14:paraId="5D9EF9C9" w14:textId="77777777" w:rsidR="009B771F" w:rsidRDefault="009B771F">
      <w:pPr>
        <w:spacing w:after="80"/>
      </w:pPr>
    </w:p>
    <w:p w14:paraId="36E17534" w14:textId="22905734" w:rsidR="009B771F" w:rsidRDefault="00C825F2">
      <w:pPr>
        <w:spacing w:before="160" w:after="60"/>
      </w:pPr>
      <w:r>
        <w:rPr>
          <w:b/>
          <w:bCs/>
          <w:color w:val="1A1A2E"/>
          <w:sz w:val="22"/>
          <w:szCs w:val="22"/>
        </w:rPr>
        <w:t xml:space="preserve">Segment A </w:t>
      </w:r>
      <w:r w:rsidR="00772E2D">
        <w:rPr>
          <w:b/>
          <w:bCs/>
          <w:color w:val="1A1A2E"/>
          <w:sz w:val="22"/>
          <w:szCs w:val="22"/>
        </w:rPr>
        <w:t>-</w:t>
      </w:r>
      <w:r>
        <w:rPr>
          <w:b/>
          <w:bCs/>
          <w:color w:val="1A1A2E"/>
          <w:sz w:val="22"/>
          <w:szCs w:val="22"/>
        </w:rPr>
        <w:t>High-DRR / High-ACV Age Groups (Primary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71F" w14:paraId="7ADC4ECD" w14:textId="77777777">
        <w:tblPrEx>
          <w:tblCellMar>
            <w:top w:w="0" w:type="dxa"/>
            <w:bottom w:w="0" w:type="dxa"/>
          </w:tblCellMar>
        </w:tblPrEx>
        <w:tc>
          <w:tcPr>
            <w:tcW w:w="9360" w:type="dxa"/>
            <w:tcBorders>
              <w:top w:val="single" w:sz="6" w:space="0" w:color="E8522B"/>
              <w:left w:val="single" w:sz="12" w:space="0" w:color="E8522B"/>
              <w:bottom w:val="single" w:sz="1" w:space="0" w:color="C7CDD6"/>
              <w:right w:val="single" w:sz="1" w:space="0" w:color="C7CDD6"/>
            </w:tcBorders>
            <w:shd w:val="clear" w:color="auto" w:fill="F2F4F7"/>
            <w:tcMar>
              <w:top w:w="120" w:type="dxa"/>
              <w:left w:w="180" w:type="dxa"/>
              <w:bottom w:w="120" w:type="dxa"/>
              <w:right w:w="180" w:type="dxa"/>
            </w:tcMar>
          </w:tcPr>
          <w:p w14:paraId="025A15ED" w14:textId="77777777" w:rsidR="009B771F" w:rsidRDefault="00C825F2">
            <w:pPr>
              <w:spacing w:before="160" w:after="60"/>
            </w:pPr>
            <w:r>
              <w:rPr>
                <w:b/>
                <w:bCs/>
                <w:color w:val="E8522B"/>
                <w:sz w:val="22"/>
                <w:szCs w:val="22"/>
              </w:rPr>
              <w:t>Insight</w:t>
            </w:r>
          </w:p>
          <w:p w14:paraId="1428557D" w14:textId="77777777" w:rsidR="004840EF" w:rsidRDefault="004840EF" w:rsidP="004840EF">
            <w:pPr>
              <w:spacing w:before="60" w:after="60"/>
            </w:pPr>
            <w:r>
              <w:t xml:space="preserve">Looking at the scatter chart (DRR vs. Average Customer Value by </w:t>
            </w:r>
            <w:proofErr w:type="spellStart"/>
            <w:r>
              <w:t>age_group</w:t>
            </w:r>
            <w:proofErr w:type="spellEnd"/>
            <w:r>
              <w:t>) we can see that there are age groups that cluster in the high-DRR, high-ACV quadrant. These customers are big spenders when discounted but have demonstrated they have above average spend capacity and will continue to purchase at lower volume levels without promotional incentives.</w:t>
            </w:r>
          </w:p>
          <w:p w14:paraId="6A64555A" w14:textId="77777777" w:rsidR="004840EF" w:rsidRDefault="004840EF" w:rsidP="004840EF">
            <w:pPr>
              <w:spacing w:before="60" w:after="60"/>
            </w:pPr>
          </w:p>
          <w:p w14:paraId="74A50C78" w14:textId="262B5FB3" w:rsidR="009B771F" w:rsidRDefault="004840EF" w:rsidP="004840EF">
            <w:pPr>
              <w:spacing w:before="60" w:after="60"/>
            </w:pPr>
            <w:r>
              <w:t xml:space="preserve">The risk of discounting these customers is asymmetric: the brand is subsidizing purchases that could be captured at full margin, while at the same time conditioning the customer to wait for </w:t>
            </w:r>
            <w:proofErr w:type="gramStart"/>
            <w:r>
              <w:t>promotions..</w:t>
            </w:r>
            <w:proofErr w:type="gramEnd"/>
          </w:p>
        </w:tc>
      </w:tr>
    </w:tbl>
    <w:p w14:paraId="70C80E5F" w14:textId="77777777" w:rsidR="009B771F" w:rsidRDefault="009B771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B771F" w14:paraId="6B3BB5ED" w14:textId="77777777">
        <w:tblPrEx>
          <w:tblCellMar>
            <w:top w:w="0" w:type="dxa"/>
            <w:bottom w:w="0" w:type="dxa"/>
          </w:tblCellMar>
        </w:tblPrEx>
        <w:tc>
          <w:tcPr>
            <w:tcW w:w="468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45DC551D" w14:textId="77777777" w:rsidR="009B771F" w:rsidRDefault="00C825F2">
            <w:pPr>
              <w:jc w:val="center"/>
            </w:pPr>
            <w:r>
              <w:rPr>
                <w:b/>
                <w:bCs/>
                <w:color w:val="FFFFFF"/>
                <w:sz w:val="18"/>
                <w:szCs w:val="18"/>
              </w:rPr>
              <w:lastRenderedPageBreak/>
              <w:t>Dimension</w:t>
            </w:r>
          </w:p>
        </w:tc>
        <w:tc>
          <w:tcPr>
            <w:tcW w:w="468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30BA0417" w14:textId="77777777" w:rsidR="009B771F" w:rsidRDefault="00C825F2">
            <w:pPr>
              <w:jc w:val="center"/>
            </w:pPr>
            <w:r>
              <w:rPr>
                <w:b/>
                <w:bCs/>
                <w:color w:val="FFFFFF"/>
                <w:sz w:val="18"/>
                <w:szCs w:val="18"/>
              </w:rPr>
              <w:t>Detail</w:t>
            </w:r>
          </w:p>
        </w:tc>
      </w:tr>
      <w:tr w:rsidR="009B771F" w14:paraId="19E100BF" w14:textId="77777777">
        <w:tblPrEx>
          <w:tblCellMar>
            <w:top w:w="0" w:type="dxa"/>
            <w:bottom w:w="0" w:type="dxa"/>
          </w:tblCellMar>
        </w:tblPrEx>
        <w:tc>
          <w:tcPr>
            <w:tcW w:w="468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6CBF418D" w14:textId="77777777" w:rsidR="009B771F" w:rsidRDefault="00C825F2">
            <w:r>
              <w:rPr>
                <w:sz w:val="18"/>
                <w:szCs w:val="18"/>
              </w:rPr>
              <w:t>Segment Name</w:t>
            </w:r>
          </w:p>
        </w:tc>
        <w:tc>
          <w:tcPr>
            <w:tcW w:w="468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0042B331" w14:textId="77777777" w:rsidR="009B771F" w:rsidRDefault="00C825F2">
            <w:r>
              <w:rPr>
                <w:sz w:val="18"/>
                <w:szCs w:val="18"/>
              </w:rPr>
              <w:t>High-DRR / High-ACV Age Cohort</w:t>
            </w:r>
          </w:p>
        </w:tc>
      </w:tr>
      <w:tr w:rsidR="009B771F" w14:paraId="10C4EEC3" w14:textId="77777777">
        <w:tblPrEx>
          <w:tblCellMar>
            <w:top w:w="0" w:type="dxa"/>
            <w:bottom w:w="0" w:type="dxa"/>
          </w:tblCellMar>
        </w:tblPrEx>
        <w:tc>
          <w:tcPr>
            <w:tcW w:w="468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67E65DBA" w14:textId="77777777" w:rsidR="009B771F" w:rsidRDefault="00C825F2">
            <w:r>
              <w:rPr>
                <w:sz w:val="18"/>
                <w:szCs w:val="18"/>
              </w:rPr>
              <w:t xml:space="preserve">Trigger </w:t>
            </w:r>
            <w:proofErr w:type="spellStart"/>
            <w:r>
              <w:rPr>
                <w:sz w:val="18"/>
                <w:szCs w:val="18"/>
              </w:rPr>
              <w:t>Behavior</w:t>
            </w:r>
            <w:proofErr w:type="spellEnd"/>
          </w:p>
        </w:tc>
        <w:tc>
          <w:tcPr>
            <w:tcW w:w="468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0BA69593" w14:textId="77777777" w:rsidR="009B771F" w:rsidRDefault="00C825F2">
            <w:r>
              <w:rPr>
                <w:sz w:val="18"/>
                <w:szCs w:val="18"/>
              </w:rPr>
              <w:t>DRR &gt; 0.65 AND Average Customer Value &gt; brand median ACV for 2 consecutive quarters</w:t>
            </w:r>
          </w:p>
        </w:tc>
      </w:tr>
      <w:tr w:rsidR="009B771F" w14:paraId="7B5F422A" w14:textId="77777777">
        <w:tblPrEx>
          <w:tblCellMar>
            <w:top w:w="0" w:type="dxa"/>
            <w:bottom w:w="0" w:type="dxa"/>
          </w:tblCellMar>
        </w:tblPrEx>
        <w:tc>
          <w:tcPr>
            <w:tcW w:w="468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6E0877D1" w14:textId="77777777" w:rsidR="009B771F" w:rsidRDefault="00C825F2">
            <w:r>
              <w:rPr>
                <w:sz w:val="18"/>
                <w:szCs w:val="18"/>
              </w:rPr>
              <w:t>Why This Segment</w:t>
            </w:r>
          </w:p>
        </w:tc>
        <w:tc>
          <w:tcPr>
            <w:tcW w:w="468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55E989FB" w14:textId="77777777" w:rsidR="009B771F" w:rsidRDefault="00C825F2">
            <w:r>
              <w:rPr>
                <w:sz w:val="18"/>
                <w:szCs w:val="18"/>
              </w:rPr>
              <w:t>Proven spend capacity; promotional dependence is learned, not structural</w:t>
            </w:r>
          </w:p>
        </w:tc>
      </w:tr>
      <w:tr w:rsidR="009B771F" w14:paraId="7551C857" w14:textId="77777777">
        <w:tblPrEx>
          <w:tblCellMar>
            <w:top w:w="0" w:type="dxa"/>
            <w:bottom w:w="0" w:type="dxa"/>
          </w:tblCellMar>
        </w:tblPrEx>
        <w:tc>
          <w:tcPr>
            <w:tcW w:w="468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107A3940" w14:textId="77777777" w:rsidR="009B771F" w:rsidRDefault="00C825F2">
            <w:r>
              <w:rPr>
                <w:sz w:val="18"/>
                <w:szCs w:val="18"/>
              </w:rPr>
              <w:t>Rollout Timeline</w:t>
            </w:r>
          </w:p>
        </w:tc>
        <w:tc>
          <w:tcPr>
            <w:tcW w:w="468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3BF3069F" w14:textId="77777777" w:rsidR="009B771F" w:rsidRDefault="00C825F2">
            <w:r>
              <w:rPr>
                <w:sz w:val="18"/>
                <w:szCs w:val="18"/>
              </w:rPr>
              <w:t>Q3 2026: Reduce promo frequency by 30% | Q4 2026: Reduce by 60% | Q1 2027: Full sunset except seasonal</w:t>
            </w:r>
          </w:p>
        </w:tc>
      </w:tr>
      <w:tr w:rsidR="009B771F" w14:paraId="7CAB315D" w14:textId="77777777">
        <w:tblPrEx>
          <w:tblCellMar>
            <w:top w:w="0" w:type="dxa"/>
            <w:bottom w:w="0" w:type="dxa"/>
          </w:tblCellMar>
        </w:tblPrEx>
        <w:tc>
          <w:tcPr>
            <w:tcW w:w="468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5D7FB5DA" w14:textId="77777777" w:rsidR="009B771F" w:rsidRDefault="00C825F2">
            <w:r>
              <w:rPr>
                <w:sz w:val="18"/>
                <w:szCs w:val="18"/>
              </w:rPr>
              <w:t>Margin Impact</w:t>
            </w:r>
          </w:p>
        </w:tc>
        <w:tc>
          <w:tcPr>
            <w:tcW w:w="468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07705CF7" w14:textId="77777777" w:rsidR="009B771F" w:rsidRDefault="00C825F2">
            <w:r>
              <w:rPr>
                <w:sz w:val="18"/>
                <w:szCs w:val="18"/>
              </w:rPr>
              <w:t>Estimated +8-12% gross margin improvement per converted customer; ~5-10% volume decline expected</w:t>
            </w:r>
          </w:p>
        </w:tc>
      </w:tr>
      <w:tr w:rsidR="009B771F" w14:paraId="690F69D4" w14:textId="77777777">
        <w:tblPrEx>
          <w:tblCellMar>
            <w:top w:w="0" w:type="dxa"/>
            <w:bottom w:w="0" w:type="dxa"/>
          </w:tblCellMar>
        </w:tblPrEx>
        <w:tc>
          <w:tcPr>
            <w:tcW w:w="468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4E91C17C" w14:textId="77777777" w:rsidR="009B771F" w:rsidRDefault="00C825F2">
            <w:r>
              <w:rPr>
                <w:sz w:val="18"/>
                <w:szCs w:val="18"/>
              </w:rPr>
              <w:t>Tracking Metric</w:t>
            </w:r>
          </w:p>
        </w:tc>
        <w:tc>
          <w:tcPr>
            <w:tcW w:w="468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48B87FE6" w14:textId="77777777" w:rsidR="009B771F" w:rsidRDefault="00C825F2">
            <w:r>
              <w:rPr>
                <w:sz w:val="18"/>
                <w:szCs w:val="18"/>
              </w:rPr>
              <w:t>DRR trending downward quarter-over-quarter while ACV maintains within 15% of discounted-period ACV</w:t>
            </w:r>
          </w:p>
        </w:tc>
      </w:tr>
    </w:tbl>
    <w:p w14:paraId="0F5BCA9A" w14:textId="77777777" w:rsidR="009B771F" w:rsidRDefault="009B771F">
      <w:pPr>
        <w:spacing w:after="80"/>
      </w:pPr>
    </w:p>
    <w:p w14:paraId="4F782E97" w14:textId="4868E1BC" w:rsidR="009B771F" w:rsidRDefault="00C825F2">
      <w:pPr>
        <w:spacing w:before="60" w:after="60"/>
      </w:pPr>
      <w:r>
        <w:t xml:space="preserve">Trade-off: A </w:t>
      </w:r>
      <w:r w:rsidR="006B15EB">
        <w:t>group</w:t>
      </w:r>
      <w:r>
        <w:t xml:space="preserve"> of price-sensitive buyers within this age group may churn. Estimated churn risk is 12-18</w:t>
      </w:r>
      <w:proofErr w:type="gramStart"/>
      <w:r>
        <w:t xml:space="preserve">% </w:t>
      </w:r>
      <w:r>
        <w:t xml:space="preserve"> The</w:t>
      </w:r>
      <w:proofErr w:type="gramEnd"/>
      <w:r>
        <w:t xml:space="preserve"> brand must accept short-term revenue dip in exchange for </w:t>
      </w:r>
      <w:r>
        <w:t>healthier margins over a 12-month horizon.</w:t>
      </w:r>
    </w:p>
    <w:p w14:paraId="50A03CFB" w14:textId="77777777" w:rsidR="009B771F" w:rsidRDefault="009B771F">
      <w:pPr>
        <w:spacing w:after="140"/>
      </w:pPr>
    </w:p>
    <w:p w14:paraId="2E505921" w14:textId="7AA8B20D" w:rsidR="009B771F" w:rsidRDefault="00C825F2">
      <w:pPr>
        <w:spacing w:before="160" w:after="60"/>
      </w:pPr>
      <w:r>
        <w:rPr>
          <w:b/>
          <w:bCs/>
          <w:color w:val="1A1A2E"/>
          <w:sz w:val="22"/>
          <w:szCs w:val="22"/>
        </w:rPr>
        <w:t xml:space="preserve">Segment B </w:t>
      </w:r>
      <w:r w:rsidR="00772E2D">
        <w:rPr>
          <w:b/>
          <w:bCs/>
          <w:color w:val="1A1A2E"/>
          <w:sz w:val="22"/>
          <w:szCs w:val="22"/>
        </w:rPr>
        <w:t>-</w:t>
      </w:r>
      <w:r w:rsidR="006B15EB">
        <w:rPr>
          <w:b/>
          <w:bCs/>
          <w:color w:val="1A1A2E"/>
          <w:sz w:val="22"/>
          <w:szCs w:val="22"/>
        </w:rPr>
        <w:t xml:space="preserve"> </w:t>
      </w:r>
      <w:r>
        <w:rPr>
          <w:b/>
          <w:bCs/>
          <w:color w:val="1A1A2E"/>
          <w:sz w:val="22"/>
          <w:szCs w:val="22"/>
        </w:rPr>
        <w:t>Low-Retention, High-Entry-Point Categories (Secondary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71F" w14:paraId="44FDA689" w14:textId="77777777">
        <w:tblPrEx>
          <w:tblCellMar>
            <w:top w:w="0" w:type="dxa"/>
            <w:bottom w:w="0" w:type="dxa"/>
          </w:tblCellMar>
        </w:tblPrEx>
        <w:tc>
          <w:tcPr>
            <w:tcW w:w="9360" w:type="dxa"/>
            <w:tcBorders>
              <w:top w:val="single" w:sz="6" w:space="0" w:color="E8522B"/>
              <w:left w:val="single" w:sz="12" w:space="0" w:color="E8522B"/>
              <w:bottom w:val="single" w:sz="1" w:space="0" w:color="C7CDD6"/>
              <w:right w:val="single" w:sz="1" w:space="0" w:color="C7CDD6"/>
            </w:tcBorders>
            <w:shd w:val="clear" w:color="auto" w:fill="F2F4F7"/>
            <w:tcMar>
              <w:top w:w="120" w:type="dxa"/>
              <w:left w:w="180" w:type="dxa"/>
              <w:bottom w:w="120" w:type="dxa"/>
              <w:right w:w="180" w:type="dxa"/>
            </w:tcMar>
          </w:tcPr>
          <w:p w14:paraId="5B7808B3" w14:textId="77777777" w:rsidR="009B771F" w:rsidRDefault="00C825F2">
            <w:pPr>
              <w:spacing w:before="160" w:after="60"/>
            </w:pPr>
            <w:r>
              <w:rPr>
                <w:b/>
                <w:bCs/>
                <w:color w:val="E8522B"/>
                <w:sz w:val="22"/>
                <w:szCs w:val="22"/>
              </w:rPr>
              <w:t>Insight</w:t>
            </w:r>
          </w:p>
          <w:p w14:paraId="26F2A055" w14:textId="10BD4D2C" w:rsidR="009B771F" w:rsidRDefault="00C825F2">
            <w:pPr>
              <w:spacing w:before="60" w:after="60"/>
            </w:pPr>
            <w:r>
              <w:t>The bar chart comparing Entry Point % vs</w:t>
            </w:r>
            <w:r>
              <w:t xml:space="preserve"> Retention % by category reveals categories where discounts are</w:t>
            </w:r>
            <w:r>
              <w:t xml:space="preserve"> attracting new customers (high Entry Point %) but failing to convert them into retained buyers (low Retention %). This pattern indicates promotional spend is funding trial, not loyalty</w:t>
            </w:r>
          </w:p>
        </w:tc>
      </w:tr>
    </w:tbl>
    <w:p w14:paraId="51EA9E73" w14:textId="77777777" w:rsidR="009B771F" w:rsidRDefault="009B771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B771F" w14:paraId="6344CB36" w14:textId="77777777">
        <w:tblPrEx>
          <w:tblCellMar>
            <w:top w:w="0" w:type="dxa"/>
            <w:bottom w:w="0" w:type="dxa"/>
          </w:tblCellMar>
        </w:tblPrEx>
        <w:tc>
          <w:tcPr>
            <w:tcW w:w="468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30CD82F6" w14:textId="77777777" w:rsidR="009B771F" w:rsidRDefault="00C825F2">
            <w:pPr>
              <w:jc w:val="center"/>
            </w:pPr>
            <w:r>
              <w:rPr>
                <w:b/>
                <w:bCs/>
                <w:color w:val="FFFFFF"/>
                <w:sz w:val="18"/>
                <w:szCs w:val="18"/>
              </w:rPr>
              <w:t>Dimension</w:t>
            </w:r>
          </w:p>
        </w:tc>
        <w:tc>
          <w:tcPr>
            <w:tcW w:w="468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5725E165" w14:textId="77777777" w:rsidR="009B771F" w:rsidRDefault="00C825F2">
            <w:pPr>
              <w:jc w:val="center"/>
            </w:pPr>
            <w:r>
              <w:rPr>
                <w:b/>
                <w:bCs/>
                <w:color w:val="FFFFFF"/>
                <w:sz w:val="18"/>
                <w:szCs w:val="18"/>
              </w:rPr>
              <w:t>Detail</w:t>
            </w:r>
          </w:p>
        </w:tc>
      </w:tr>
      <w:tr w:rsidR="009B771F" w14:paraId="4CE90B1C" w14:textId="77777777">
        <w:tblPrEx>
          <w:tblCellMar>
            <w:top w:w="0" w:type="dxa"/>
            <w:bottom w:w="0" w:type="dxa"/>
          </w:tblCellMar>
        </w:tblPrEx>
        <w:tc>
          <w:tcPr>
            <w:tcW w:w="468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6134C98E" w14:textId="77777777" w:rsidR="009B771F" w:rsidRDefault="00C825F2">
            <w:r>
              <w:rPr>
                <w:sz w:val="18"/>
                <w:szCs w:val="18"/>
              </w:rPr>
              <w:t>Segment Name</w:t>
            </w:r>
          </w:p>
        </w:tc>
        <w:tc>
          <w:tcPr>
            <w:tcW w:w="468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1253EDA" w14:textId="77777777" w:rsidR="009B771F" w:rsidRDefault="00C825F2">
            <w:r>
              <w:rPr>
                <w:sz w:val="18"/>
                <w:szCs w:val="18"/>
              </w:rPr>
              <w:t>High Entry / Low Retention Product Categories</w:t>
            </w:r>
          </w:p>
        </w:tc>
      </w:tr>
      <w:tr w:rsidR="009B771F" w14:paraId="6F10CAFA" w14:textId="77777777">
        <w:tblPrEx>
          <w:tblCellMar>
            <w:top w:w="0" w:type="dxa"/>
            <w:bottom w:w="0" w:type="dxa"/>
          </w:tblCellMar>
        </w:tblPrEx>
        <w:tc>
          <w:tcPr>
            <w:tcW w:w="468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235C09D0" w14:textId="77777777" w:rsidR="009B771F" w:rsidRDefault="00C825F2">
            <w:r>
              <w:rPr>
                <w:sz w:val="18"/>
                <w:szCs w:val="18"/>
              </w:rPr>
              <w:t xml:space="preserve">Trigger </w:t>
            </w:r>
            <w:proofErr w:type="spellStart"/>
            <w:r>
              <w:rPr>
                <w:sz w:val="18"/>
                <w:szCs w:val="18"/>
              </w:rPr>
              <w:t>Behavior</w:t>
            </w:r>
            <w:proofErr w:type="spellEnd"/>
          </w:p>
        </w:tc>
        <w:tc>
          <w:tcPr>
            <w:tcW w:w="468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1CF145D5" w14:textId="77777777" w:rsidR="009B771F" w:rsidRDefault="00C825F2">
            <w:r>
              <w:rPr>
                <w:sz w:val="18"/>
                <w:szCs w:val="18"/>
              </w:rPr>
              <w:t>Entry Point % &gt; 40% AND Retention % &lt; 30% for the category in the current period</w:t>
            </w:r>
          </w:p>
        </w:tc>
      </w:tr>
      <w:tr w:rsidR="009B771F" w14:paraId="6A4E2C5A" w14:textId="77777777">
        <w:tblPrEx>
          <w:tblCellMar>
            <w:top w:w="0" w:type="dxa"/>
            <w:bottom w:w="0" w:type="dxa"/>
          </w:tblCellMar>
        </w:tblPrEx>
        <w:tc>
          <w:tcPr>
            <w:tcW w:w="468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7247C769" w14:textId="77777777" w:rsidR="009B771F" w:rsidRDefault="00C825F2">
            <w:r>
              <w:rPr>
                <w:sz w:val="18"/>
                <w:szCs w:val="18"/>
              </w:rPr>
              <w:t>Why This Segment</w:t>
            </w:r>
          </w:p>
        </w:tc>
        <w:tc>
          <w:tcPr>
            <w:tcW w:w="468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6BA0B3E" w14:textId="77777777" w:rsidR="009B771F" w:rsidRDefault="00C825F2">
            <w:r>
              <w:rPr>
                <w:sz w:val="18"/>
                <w:szCs w:val="18"/>
              </w:rPr>
              <w:t>Discount is funding trial that does not convert; no loyalty return on margin invested</w:t>
            </w:r>
          </w:p>
        </w:tc>
      </w:tr>
      <w:tr w:rsidR="009B771F" w14:paraId="02C12CC1" w14:textId="77777777">
        <w:tblPrEx>
          <w:tblCellMar>
            <w:top w:w="0" w:type="dxa"/>
            <w:bottom w:w="0" w:type="dxa"/>
          </w:tblCellMar>
        </w:tblPrEx>
        <w:tc>
          <w:tcPr>
            <w:tcW w:w="468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540868F0" w14:textId="77777777" w:rsidR="009B771F" w:rsidRDefault="00C825F2">
            <w:r>
              <w:rPr>
                <w:sz w:val="18"/>
                <w:szCs w:val="18"/>
              </w:rPr>
              <w:t>Rollout Timeline</w:t>
            </w:r>
          </w:p>
        </w:tc>
        <w:tc>
          <w:tcPr>
            <w:tcW w:w="468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61AE9CC5" w14:textId="77777777" w:rsidR="009B771F" w:rsidRDefault="00C825F2">
            <w:r>
              <w:rPr>
                <w:sz w:val="18"/>
                <w:szCs w:val="18"/>
              </w:rPr>
              <w:t>Q3 2026: Shift discount to post-purchase loyalty vouchers | Q4 2026: Phase out blanket promo | Q1 2027: Category-level sunset complete</w:t>
            </w:r>
          </w:p>
        </w:tc>
      </w:tr>
      <w:tr w:rsidR="009B771F" w14:paraId="373B35DE" w14:textId="77777777">
        <w:tblPrEx>
          <w:tblCellMar>
            <w:top w:w="0" w:type="dxa"/>
            <w:bottom w:w="0" w:type="dxa"/>
          </w:tblCellMar>
        </w:tblPrEx>
        <w:tc>
          <w:tcPr>
            <w:tcW w:w="468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7DE8CE7" w14:textId="77777777" w:rsidR="009B771F" w:rsidRDefault="00C825F2">
            <w:r>
              <w:rPr>
                <w:sz w:val="18"/>
                <w:szCs w:val="18"/>
              </w:rPr>
              <w:t>Margin Impact</w:t>
            </w:r>
          </w:p>
        </w:tc>
        <w:tc>
          <w:tcPr>
            <w:tcW w:w="468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3FD05AE1" w14:textId="77777777" w:rsidR="009B771F" w:rsidRDefault="00C825F2">
            <w:r>
              <w:rPr>
                <w:sz w:val="18"/>
                <w:szCs w:val="18"/>
              </w:rPr>
              <w:t>Immediate +6-9% margin recovery on affected categories; new customer acquisition may slow 20-25%</w:t>
            </w:r>
          </w:p>
        </w:tc>
      </w:tr>
      <w:tr w:rsidR="009B771F" w14:paraId="7E8FD888" w14:textId="77777777">
        <w:tblPrEx>
          <w:tblCellMar>
            <w:top w:w="0" w:type="dxa"/>
            <w:bottom w:w="0" w:type="dxa"/>
          </w:tblCellMar>
        </w:tblPrEx>
        <w:tc>
          <w:tcPr>
            <w:tcW w:w="468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758E4E1A" w14:textId="77777777" w:rsidR="009B771F" w:rsidRDefault="00C825F2">
            <w:r>
              <w:rPr>
                <w:sz w:val="18"/>
                <w:szCs w:val="18"/>
              </w:rPr>
              <w:t>Tracking Metric</w:t>
            </w:r>
          </w:p>
        </w:tc>
        <w:tc>
          <w:tcPr>
            <w:tcW w:w="468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6F572E15" w14:textId="77777777" w:rsidR="009B771F" w:rsidRDefault="00C825F2">
            <w:r>
              <w:rPr>
                <w:sz w:val="18"/>
                <w:szCs w:val="18"/>
              </w:rPr>
              <w:t>Retention % improvement of minimum 5pp within 2 quarters of sunset; monitor Entry Point % does not collapse beyond 20pp</w:t>
            </w:r>
          </w:p>
        </w:tc>
      </w:tr>
    </w:tbl>
    <w:p w14:paraId="6F72D1D0" w14:textId="77777777" w:rsidR="009B771F" w:rsidRDefault="009B771F">
      <w:pPr>
        <w:spacing w:after="80"/>
      </w:pPr>
    </w:p>
    <w:p w14:paraId="22E814DF" w14:textId="77777777" w:rsidR="009B771F" w:rsidRDefault="00C825F2">
      <w:pPr>
        <w:spacing w:before="60" w:after="60"/>
      </w:pPr>
      <w:r>
        <w:t>Trade-off: New customer acquisition volume in these categories will fall in the short term. The brand must invest in alternative acquisition channels (content, referral, organic) to offset the entry-point gap created by pulling promotions.</w:t>
      </w:r>
    </w:p>
    <w:p w14:paraId="3C756FAD" w14:textId="77777777" w:rsidR="009B771F" w:rsidRDefault="009B771F">
      <w:pPr>
        <w:spacing w:after="140"/>
      </w:pPr>
    </w:p>
    <w:p w14:paraId="270B1390" w14:textId="77777777" w:rsidR="006B15EB" w:rsidRDefault="006B15EB">
      <w:pPr>
        <w:pStyle w:val="Heading2"/>
        <w:pBdr>
          <w:bottom w:val="single" w:sz="4" w:space="2" w:color="2E5FA3"/>
        </w:pBdr>
      </w:pPr>
    </w:p>
    <w:p w14:paraId="004A1053" w14:textId="49463FD1" w:rsidR="009B771F" w:rsidRDefault="00C825F2">
      <w:pPr>
        <w:pStyle w:val="Heading2"/>
        <w:pBdr>
          <w:bottom w:val="single" w:sz="4" w:space="2" w:color="2E5FA3"/>
        </w:pBdr>
      </w:pPr>
      <w:proofErr w:type="gramStart"/>
      <w:r>
        <w:lastRenderedPageBreak/>
        <w:t>1.2  Geographic</w:t>
      </w:r>
      <w:proofErr w:type="gramEnd"/>
      <w:r>
        <w:t xml:space="preserve"> Consideration: Brand Pull Index</w:t>
      </w:r>
    </w:p>
    <w:p w14:paraId="3460F6C7" w14:textId="114051C5" w:rsidR="009B771F" w:rsidRDefault="00C825F2">
      <w:pPr>
        <w:spacing w:before="60" w:after="60"/>
      </w:pPr>
      <w:r>
        <w:t xml:space="preserve">The shape map visual tracks Brand Pull Index by location alongside Total Spend. Markets with a high Brand Pull Index carry lower organic discount </w:t>
      </w:r>
      <w:proofErr w:type="gramStart"/>
      <w:r>
        <w:t xml:space="preserve">dependency </w:t>
      </w:r>
      <w:r w:rsidR="006B15EB">
        <w:t>,</w:t>
      </w:r>
      <w:r>
        <w:t>these</w:t>
      </w:r>
      <w:proofErr w:type="gramEnd"/>
      <w:r>
        <w:t xml:space="preserve"> are the safest markets to sunset promotions first.</w:t>
      </w:r>
    </w:p>
    <w:p w14:paraId="06E7F3BC" w14:textId="77777777" w:rsidR="009B771F" w:rsidRDefault="009B77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B771F" w14:paraId="6078DE0E" w14:textId="77777777">
        <w:tblPrEx>
          <w:tblCellMar>
            <w:top w:w="0" w:type="dxa"/>
            <w:bottom w:w="0" w:type="dxa"/>
          </w:tblCellMar>
        </w:tblPrEx>
        <w:tc>
          <w:tcPr>
            <w:tcW w:w="312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0B7E2115" w14:textId="77777777" w:rsidR="009B771F" w:rsidRDefault="00C825F2">
            <w:pPr>
              <w:jc w:val="center"/>
            </w:pPr>
            <w:r>
              <w:rPr>
                <w:b/>
                <w:bCs/>
                <w:color w:val="FFFFFF"/>
                <w:sz w:val="18"/>
                <w:szCs w:val="18"/>
              </w:rPr>
              <w:t>Priority</w:t>
            </w:r>
          </w:p>
        </w:tc>
        <w:tc>
          <w:tcPr>
            <w:tcW w:w="312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00C7D56F" w14:textId="77777777" w:rsidR="009B771F" w:rsidRDefault="00C825F2">
            <w:pPr>
              <w:jc w:val="center"/>
            </w:pPr>
            <w:r>
              <w:rPr>
                <w:b/>
                <w:bCs/>
                <w:color w:val="FFFFFF"/>
                <w:sz w:val="18"/>
                <w:szCs w:val="18"/>
              </w:rPr>
              <w:t>Market Condition</w:t>
            </w:r>
          </w:p>
        </w:tc>
        <w:tc>
          <w:tcPr>
            <w:tcW w:w="312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0D53BCA6" w14:textId="77777777" w:rsidR="009B771F" w:rsidRDefault="00C825F2">
            <w:pPr>
              <w:jc w:val="center"/>
            </w:pPr>
            <w:r>
              <w:rPr>
                <w:b/>
                <w:bCs/>
                <w:color w:val="FFFFFF"/>
                <w:sz w:val="18"/>
                <w:szCs w:val="18"/>
              </w:rPr>
              <w:t>Sunset Recommendation</w:t>
            </w:r>
          </w:p>
        </w:tc>
      </w:tr>
      <w:tr w:rsidR="009B771F" w14:paraId="7AFE6B8F"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17EBBBCF" w14:textId="77777777" w:rsidR="009B771F" w:rsidRDefault="00C825F2">
            <w:r>
              <w:rPr>
                <w:sz w:val="18"/>
                <w:szCs w:val="18"/>
              </w:rPr>
              <w:t>1st</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990A19B" w14:textId="77777777" w:rsidR="009B771F" w:rsidRDefault="00C825F2">
            <w:r>
              <w:rPr>
                <w:sz w:val="18"/>
                <w:szCs w:val="18"/>
              </w:rPr>
              <w:t>High Brand Pull Index + High Total Spend</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C9493FF" w14:textId="767FB45C" w:rsidR="009B771F" w:rsidRDefault="00C825F2">
            <w:r>
              <w:rPr>
                <w:sz w:val="18"/>
                <w:szCs w:val="18"/>
              </w:rPr>
              <w:t xml:space="preserve">Immediate sunset candidate </w:t>
            </w:r>
            <w:r w:rsidR="00772E2D">
              <w:rPr>
                <w:sz w:val="18"/>
                <w:szCs w:val="18"/>
              </w:rPr>
              <w:t>-</w:t>
            </w:r>
            <w:r w:rsidR="006B15EB">
              <w:rPr>
                <w:sz w:val="18"/>
                <w:szCs w:val="18"/>
              </w:rPr>
              <w:t xml:space="preserve"> </w:t>
            </w:r>
            <w:r>
              <w:rPr>
                <w:sz w:val="18"/>
                <w:szCs w:val="18"/>
              </w:rPr>
              <w:t>brand loyalty already present; discounts are pure margin giveaway</w:t>
            </w:r>
          </w:p>
        </w:tc>
      </w:tr>
      <w:tr w:rsidR="009B771F" w14:paraId="58C69585"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0D71498F" w14:textId="77777777" w:rsidR="009B771F" w:rsidRDefault="00C825F2">
            <w:r>
              <w:rPr>
                <w:sz w:val="18"/>
                <w:szCs w:val="18"/>
              </w:rPr>
              <w:t>2nd</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4E1FA91F" w14:textId="77777777" w:rsidR="009B771F" w:rsidRDefault="00C825F2">
            <w:r>
              <w:rPr>
                <w:sz w:val="18"/>
                <w:szCs w:val="18"/>
              </w:rPr>
              <w:t>High Brand Pull Index + Low Total Spend</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2FA7F09D" w14:textId="1C37137A" w:rsidR="009B771F" w:rsidRDefault="00C825F2">
            <w:r>
              <w:rPr>
                <w:sz w:val="18"/>
                <w:szCs w:val="18"/>
              </w:rPr>
              <w:t xml:space="preserve">Gradual sunset with spend-growth investment </w:t>
            </w:r>
            <w:r w:rsidR="00772E2D">
              <w:rPr>
                <w:sz w:val="18"/>
                <w:szCs w:val="18"/>
              </w:rPr>
              <w:t>-</w:t>
            </w:r>
            <w:r w:rsidR="006B15EB">
              <w:rPr>
                <w:sz w:val="18"/>
                <w:szCs w:val="18"/>
              </w:rPr>
              <w:t xml:space="preserve"> </w:t>
            </w:r>
            <w:r>
              <w:rPr>
                <w:sz w:val="18"/>
                <w:szCs w:val="18"/>
              </w:rPr>
              <w:t>loyalty exists but scale is limited</w:t>
            </w:r>
          </w:p>
        </w:tc>
      </w:tr>
      <w:tr w:rsidR="009B771F" w14:paraId="25AEDE74"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5562EB07" w14:textId="77777777" w:rsidR="009B771F" w:rsidRDefault="00C825F2">
            <w:r>
              <w:rPr>
                <w:sz w:val="18"/>
                <w:szCs w:val="18"/>
              </w:rPr>
              <w:t>3rd</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EDF51F8" w14:textId="77777777" w:rsidR="009B771F" w:rsidRDefault="00C825F2">
            <w:r>
              <w:rPr>
                <w:sz w:val="18"/>
                <w:szCs w:val="18"/>
              </w:rPr>
              <w:t>Low Brand Pull Index + High Total Spend</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68587C8B" w14:textId="7E8B2A84" w:rsidR="009B771F" w:rsidRDefault="00C825F2">
            <w:r>
              <w:rPr>
                <w:sz w:val="18"/>
                <w:szCs w:val="18"/>
              </w:rPr>
              <w:t>Caution</w:t>
            </w:r>
            <w:r w:rsidR="006B15EB">
              <w:rPr>
                <w:sz w:val="18"/>
                <w:szCs w:val="18"/>
              </w:rPr>
              <w:t xml:space="preserve"> </w:t>
            </w:r>
            <w:r>
              <w:rPr>
                <w:sz w:val="18"/>
                <w:szCs w:val="18"/>
              </w:rPr>
              <w:t>high spend is discount-driven; do not sunset without alternative retention strategy</w:t>
            </w:r>
          </w:p>
        </w:tc>
      </w:tr>
      <w:tr w:rsidR="009B771F" w14:paraId="318888C4"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4098C894" w14:textId="77777777" w:rsidR="009B771F" w:rsidRDefault="00C825F2">
            <w:r>
              <w:rPr>
                <w:sz w:val="18"/>
                <w:szCs w:val="18"/>
              </w:rPr>
              <w:t>4th</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4053B7B2" w14:textId="77777777" w:rsidR="009B771F" w:rsidRDefault="00C825F2">
            <w:r>
              <w:rPr>
                <w:sz w:val="18"/>
                <w:szCs w:val="18"/>
              </w:rPr>
              <w:t>Low Brand Pull Index + Low Total Spend</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66BB1103" w14:textId="23E3C3AD" w:rsidR="009B771F" w:rsidRDefault="00C825F2">
            <w:r>
              <w:rPr>
                <w:sz w:val="18"/>
                <w:szCs w:val="18"/>
              </w:rPr>
              <w:t xml:space="preserve">Hold </w:t>
            </w:r>
            <w:r w:rsidR="006B15EB">
              <w:rPr>
                <w:sz w:val="18"/>
                <w:szCs w:val="18"/>
              </w:rPr>
              <w:t xml:space="preserve">- </w:t>
            </w:r>
            <w:r>
              <w:rPr>
                <w:sz w:val="18"/>
                <w:szCs w:val="18"/>
              </w:rPr>
              <w:t>no discount sunset until brand equity is built via marketing investment</w:t>
            </w:r>
          </w:p>
        </w:tc>
      </w:tr>
    </w:tbl>
    <w:p w14:paraId="4F421168" w14:textId="77777777" w:rsidR="005C4E86" w:rsidRDefault="005C4E86" w:rsidP="00CB0C56">
      <w:pPr>
        <w:spacing w:after="80"/>
        <w:rPr>
          <w:b/>
          <w:bCs/>
          <w:color w:val="156082" w:themeColor="accent1"/>
          <w:sz w:val="24"/>
          <w:szCs w:val="24"/>
        </w:rPr>
      </w:pPr>
    </w:p>
    <w:p w14:paraId="5F7E98FD" w14:textId="77777777" w:rsidR="005C4E86" w:rsidRDefault="005C4E86" w:rsidP="00CB0C56">
      <w:pPr>
        <w:spacing w:after="80"/>
        <w:rPr>
          <w:b/>
          <w:bCs/>
          <w:color w:val="156082" w:themeColor="accent1"/>
          <w:sz w:val="24"/>
          <w:szCs w:val="24"/>
        </w:rPr>
      </w:pPr>
    </w:p>
    <w:p w14:paraId="203D8561" w14:textId="34A2AAC8" w:rsidR="00CB0C56" w:rsidRPr="00CB0C56" w:rsidRDefault="00CB0C56" w:rsidP="00CB0C56">
      <w:pPr>
        <w:spacing w:after="80"/>
        <w:rPr>
          <w:b/>
          <w:bCs/>
          <w:color w:val="156082" w:themeColor="accent1"/>
          <w:sz w:val="24"/>
          <w:szCs w:val="24"/>
        </w:rPr>
      </w:pPr>
      <w:r w:rsidRPr="00CB0C56">
        <w:rPr>
          <w:b/>
          <w:bCs/>
          <w:color w:val="156082" w:themeColor="accent1"/>
          <w:sz w:val="24"/>
          <w:szCs w:val="24"/>
        </w:rPr>
        <w:t>RISK MITIGATION</w:t>
      </w:r>
    </w:p>
    <w:p w14:paraId="3639263F" w14:textId="77777777" w:rsidR="005C4E86" w:rsidRDefault="005C4E86" w:rsidP="00CB0C56">
      <w:pPr>
        <w:spacing w:after="80"/>
        <w:rPr>
          <w:b/>
          <w:bCs/>
        </w:rPr>
      </w:pPr>
    </w:p>
    <w:p w14:paraId="1EC46BDF" w14:textId="621AB907" w:rsidR="00CB0C56" w:rsidRPr="00CB0C56" w:rsidRDefault="00CB0C56" w:rsidP="00CB0C56">
      <w:pPr>
        <w:spacing w:after="80"/>
      </w:pPr>
      <w:r w:rsidRPr="00CB0C56">
        <w:rPr>
          <w:b/>
          <w:bCs/>
        </w:rPr>
        <w:t>Primary Health Metric:</w:t>
      </w:r>
      <w:r w:rsidRPr="00CB0C56">
        <w:t xml:space="preserve"> Track the Customer Acquisition Cost (CAC) to Lifetime Value (LTV) ratio at 30, 60, and 90 days post-sunset. A healthy sunset will see CAC rise slightly but LTV rise significantly due to better margins.</w:t>
      </w:r>
    </w:p>
    <w:p w14:paraId="706AFA43" w14:textId="1E69343C" w:rsidR="00CB0C56" w:rsidRPr="00CB0C56" w:rsidRDefault="00CB0C56" w:rsidP="00CB0C56">
      <w:pPr>
        <w:spacing w:after="80"/>
      </w:pPr>
      <w:r w:rsidRPr="00CB0C56">
        <w:rPr>
          <w:b/>
          <w:bCs/>
        </w:rPr>
        <w:t>Churn Monitoring:</w:t>
      </w:r>
      <w:r w:rsidRPr="00CB0C56">
        <w:t xml:space="preserve"> Isolate the repeat purchase rate of legacy customers in sunset markets to ensure you are not losing your historical base.</w:t>
      </w:r>
    </w:p>
    <w:p w14:paraId="530FDBA4" w14:textId="5A782593" w:rsidR="00CB0C56" w:rsidRPr="00CB0C56" w:rsidRDefault="00CB0C56" w:rsidP="00CB0C56">
      <w:pPr>
        <w:spacing w:after="80"/>
      </w:pPr>
      <w:r w:rsidRPr="00CB0C56">
        <w:rPr>
          <w:b/>
          <w:bCs/>
        </w:rPr>
        <w:t>Hard Rollback Trigger:</w:t>
      </w:r>
      <w:r w:rsidRPr="00CB0C56">
        <w:t xml:space="preserve"> Establish a threshold for failure. If a market experiences a revenue drop exceeding 15% sustained over three consecutive weeks, pause the sunset and deploy a reactivation email flow.</w:t>
      </w:r>
    </w:p>
    <w:p w14:paraId="7E12608F" w14:textId="16C0160D" w:rsidR="00CB0C56" w:rsidRDefault="00CB0C56" w:rsidP="005C4E86">
      <w:pPr>
        <w:spacing w:after="80"/>
      </w:pPr>
      <w:r w:rsidRPr="00CB0C56">
        <w:rPr>
          <w:b/>
          <w:bCs/>
        </w:rPr>
        <w:t>Customer Sentiment Loop:</w:t>
      </w:r>
      <w:r w:rsidRPr="00CB0C56">
        <w:t xml:space="preserve"> Tag and monitor customer service tickets for keywords like "expensive," "discount," or "promo code" to gauge regional frustration levels.</w:t>
      </w:r>
    </w:p>
    <w:p w14:paraId="6508E517" w14:textId="7AC075D5" w:rsidR="009B771F" w:rsidRDefault="00C825F2">
      <w:pPr>
        <w:pStyle w:val="Heading1"/>
      </w:pPr>
      <w:r>
        <w:t>S</w:t>
      </w:r>
      <w:r>
        <w:t>ection 2: Ideal Customer Profile (ICP)</w:t>
      </w:r>
    </w:p>
    <w:p w14:paraId="21499566" w14:textId="77777777" w:rsidR="009B771F" w:rsidRDefault="00C825F2">
      <w:pPr>
        <w:spacing w:before="60" w:after="60"/>
      </w:pPr>
      <w:r>
        <w:t>The Ideal Customer Profile is derived from the intersection of four dashboard signals: high Average Customer Value, low Discount Reliance Ratio, strong Revenue Contribution %, and high Retention %. This is the customer archetype the brand should acquire, retain, and replicate.</w:t>
      </w:r>
    </w:p>
    <w:p w14:paraId="1EF52F11" w14:textId="77777777" w:rsidR="009B771F" w:rsidRDefault="009B771F">
      <w:pPr>
        <w:spacing w:after="80"/>
      </w:pPr>
    </w:p>
    <w:p w14:paraId="3F1B5DD1" w14:textId="77777777" w:rsidR="009B771F" w:rsidRDefault="00C825F2">
      <w:pPr>
        <w:pStyle w:val="Heading2"/>
        <w:pBdr>
          <w:bottom w:val="single" w:sz="4" w:space="2" w:color="2E5FA3"/>
        </w:pBdr>
      </w:pPr>
      <w:proofErr w:type="gramStart"/>
      <w:r>
        <w:t>2.1  ICP</w:t>
      </w:r>
      <w:proofErr w:type="gramEnd"/>
      <w:r>
        <w:t xml:space="preserve">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771F" w14:paraId="4957FF13"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D6E4F7"/>
            <w:tcMar>
              <w:top w:w="120" w:type="dxa"/>
              <w:left w:w="180" w:type="dxa"/>
              <w:bottom w:w="120" w:type="dxa"/>
              <w:right w:w="180" w:type="dxa"/>
            </w:tcMar>
          </w:tcPr>
          <w:p w14:paraId="17EAEF13" w14:textId="77777777" w:rsidR="009B771F" w:rsidRDefault="00C825F2">
            <w:pPr>
              <w:spacing w:before="80" w:after="80"/>
            </w:pPr>
            <w:r>
              <w:rPr>
                <w:b/>
                <w:bCs/>
                <w:color w:val="1F3A6E"/>
                <w:sz w:val="24"/>
                <w:szCs w:val="24"/>
              </w:rPr>
              <w:t>The Ideal Customer</w:t>
            </w:r>
          </w:p>
          <w:p w14:paraId="2AE25EB5" w14:textId="77777777" w:rsidR="009B771F" w:rsidRDefault="00C825F2">
            <w:pPr>
              <w:spacing w:before="60" w:after="60"/>
            </w:pPr>
            <w:r>
              <w:t>A full-price, high-retention buyer who enters via a category with strong Entry Point-to-Retention conversion and resides in a market with above-average Brand Pull Index. This customer contributes disproportionately to Revenue Contribution % relative to their segment size and does not require promotional incentives to purchase.</w:t>
            </w:r>
          </w:p>
        </w:tc>
      </w:tr>
    </w:tbl>
    <w:p w14:paraId="4FE15404" w14:textId="77777777" w:rsidR="009B771F" w:rsidRDefault="009B77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B771F" w14:paraId="4F176754" w14:textId="77777777">
        <w:tblPrEx>
          <w:tblCellMar>
            <w:top w:w="0" w:type="dxa"/>
            <w:bottom w:w="0" w:type="dxa"/>
          </w:tblCellMar>
        </w:tblPrEx>
        <w:tc>
          <w:tcPr>
            <w:tcW w:w="312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12610EAC" w14:textId="77777777" w:rsidR="009B771F" w:rsidRDefault="00C825F2">
            <w:pPr>
              <w:jc w:val="center"/>
            </w:pPr>
            <w:r>
              <w:rPr>
                <w:b/>
                <w:bCs/>
                <w:color w:val="FFFFFF"/>
                <w:sz w:val="18"/>
                <w:szCs w:val="18"/>
              </w:rPr>
              <w:lastRenderedPageBreak/>
              <w:t>ICP Attribute</w:t>
            </w:r>
          </w:p>
        </w:tc>
        <w:tc>
          <w:tcPr>
            <w:tcW w:w="312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307CA192" w14:textId="77777777" w:rsidR="009B771F" w:rsidRDefault="00C825F2">
            <w:pPr>
              <w:jc w:val="center"/>
            </w:pPr>
            <w:r>
              <w:rPr>
                <w:b/>
                <w:bCs/>
                <w:color w:val="FFFFFF"/>
                <w:sz w:val="18"/>
                <w:szCs w:val="18"/>
              </w:rPr>
              <w:t>Data Signal</w:t>
            </w:r>
          </w:p>
        </w:tc>
        <w:tc>
          <w:tcPr>
            <w:tcW w:w="312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384F23A6" w14:textId="77777777" w:rsidR="009B771F" w:rsidRDefault="00C825F2">
            <w:pPr>
              <w:jc w:val="center"/>
            </w:pPr>
            <w:r>
              <w:rPr>
                <w:b/>
                <w:bCs/>
                <w:color w:val="FFFFFF"/>
                <w:sz w:val="18"/>
                <w:szCs w:val="18"/>
              </w:rPr>
              <w:t>Threshold / Description</w:t>
            </w:r>
          </w:p>
        </w:tc>
      </w:tr>
      <w:tr w:rsidR="009B771F" w14:paraId="6BCF5BA4"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FE3DB0E" w14:textId="77777777" w:rsidR="009B771F" w:rsidRDefault="00C825F2">
            <w:r>
              <w:rPr>
                <w:sz w:val="18"/>
                <w:szCs w:val="18"/>
              </w:rPr>
              <w:t>Spend Level</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7357843F" w14:textId="77777777" w:rsidR="009B771F" w:rsidRDefault="00C825F2">
            <w:r>
              <w:rPr>
                <w:sz w:val="18"/>
                <w:szCs w:val="18"/>
              </w:rPr>
              <w:t>Average Customer Value</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7F794EC2" w14:textId="77777777" w:rsidR="009B771F" w:rsidRDefault="00C825F2">
            <w:r>
              <w:rPr>
                <w:sz w:val="18"/>
                <w:szCs w:val="18"/>
              </w:rPr>
              <w:t>Above median ACV for the brand; ideally top-quartile</w:t>
            </w:r>
          </w:p>
        </w:tc>
      </w:tr>
      <w:tr w:rsidR="009B771F" w14:paraId="44C71EA4"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0CFB8377" w14:textId="77777777" w:rsidR="009B771F" w:rsidRDefault="00C825F2">
            <w:r>
              <w:rPr>
                <w:sz w:val="18"/>
                <w:szCs w:val="18"/>
              </w:rPr>
              <w:t>Discount Independence</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27EF1A77" w14:textId="77777777" w:rsidR="009B771F" w:rsidRDefault="00C825F2">
            <w:r>
              <w:rPr>
                <w:sz w:val="18"/>
                <w:szCs w:val="18"/>
              </w:rPr>
              <w:t>Discount Reliance Ratio (DRR)</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1AD6FD7B" w14:textId="5ADE5455" w:rsidR="009B771F" w:rsidRDefault="00C825F2">
            <w:r>
              <w:rPr>
                <w:sz w:val="18"/>
                <w:szCs w:val="18"/>
              </w:rPr>
              <w:t xml:space="preserve">DRR &lt; 0.35 </w:t>
            </w:r>
            <w:r w:rsidR="00772E2D">
              <w:rPr>
                <w:sz w:val="18"/>
                <w:szCs w:val="18"/>
              </w:rPr>
              <w:t>-</w:t>
            </w:r>
            <w:r>
              <w:rPr>
                <w:sz w:val="18"/>
                <w:szCs w:val="18"/>
              </w:rPr>
              <w:t>less than 35% of purchases made under promotional conditions</w:t>
            </w:r>
          </w:p>
        </w:tc>
      </w:tr>
      <w:tr w:rsidR="009B771F" w14:paraId="694CA61B"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25EF53F2" w14:textId="77777777" w:rsidR="009B771F" w:rsidRDefault="00C825F2">
            <w:r>
              <w:rPr>
                <w:sz w:val="18"/>
                <w:szCs w:val="18"/>
              </w:rPr>
              <w:t>Revenue Weight</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697420A3" w14:textId="77777777" w:rsidR="009B771F" w:rsidRDefault="00C825F2">
            <w:r>
              <w:rPr>
                <w:sz w:val="18"/>
                <w:szCs w:val="18"/>
              </w:rPr>
              <w:t>Revenue Contribution %</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2714F01F" w14:textId="6CC3E30B" w:rsidR="009B771F" w:rsidRDefault="00C825F2">
            <w:r>
              <w:rPr>
                <w:sz w:val="18"/>
                <w:szCs w:val="18"/>
              </w:rPr>
              <w:t xml:space="preserve">Disproportionate revenue </w:t>
            </w:r>
            <w:proofErr w:type="gramStart"/>
            <w:r>
              <w:rPr>
                <w:sz w:val="18"/>
                <w:szCs w:val="18"/>
              </w:rPr>
              <w:t>share</w:t>
            </w:r>
            <w:proofErr w:type="gramEnd"/>
            <w:r>
              <w:rPr>
                <w:sz w:val="18"/>
                <w:szCs w:val="18"/>
              </w:rPr>
              <w:t xml:space="preserve"> relative to customer count </w:t>
            </w:r>
            <w:r w:rsidR="00772E2D">
              <w:rPr>
                <w:sz w:val="18"/>
                <w:szCs w:val="18"/>
              </w:rPr>
              <w:t>-</w:t>
            </w:r>
            <w:r>
              <w:rPr>
                <w:sz w:val="18"/>
                <w:szCs w:val="18"/>
              </w:rPr>
              <w:t>high-value, not just high-volume</w:t>
            </w:r>
          </w:p>
        </w:tc>
      </w:tr>
      <w:tr w:rsidR="009B771F" w14:paraId="373DC4A5"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3C8D59A3" w14:textId="77777777" w:rsidR="009B771F" w:rsidRDefault="00C825F2">
            <w:r>
              <w:rPr>
                <w:sz w:val="18"/>
                <w:szCs w:val="18"/>
              </w:rPr>
              <w:t>Loyalty</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15B49769" w14:textId="77777777" w:rsidR="009B771F" w:rsidRDefault="00C825F2">
            <w:r>
              <w:rPr>
                <w:sz w:val="18"/>
                <w:szCs w:val="18"/>
              </w:rPr>
              <w:t>Retention %</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4C215EC7" w14:textId="77777777" w:rsidR="009B771F" w:rsidRDefault="00C825F2">
            <w:r>
              <w:rPr>
                <w:sz w:val="18"/>
                <w:szCs w:val="18"/>
              </w:rPr>
              <w:t>Retained in Retention % metric for entry category; did not churn after first purchase</w:t>
            </w:r>
          </w:p>
        </w:tc>
      </w:tr>
      <w:tr w:rsidR="009B771F" w14:paraId="75811C09"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57ADCB4D" w14:textId="77777777" w:rsidR="009B771F" w:rsidRDefault="00C825F2">
            <w:r>
              <w:rPr>
                <w:sz w:val="18"/>
                <w:szCs w:val="18"/>
              </w:rPr>
              <w:t>Market Fit</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15D2F40" w14:textId="77777777" w:rsidR="009B771F" w:rsidRDefault="00C825F2">
            <w:r>
              <w:rPr>
                <w:sz w:val="18"/>
                <w:szCs w:val="18"/>
              </w:rPr>
              <w:t>Brand Pull Index by location</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2EEA81C5" w14:textId="790831F7" w:rsidR="009B771F" w:rsidRDefault="00C825F2">
            <w:r>
              <w:rPr>
                <w:sz w:val="18"/>
                <w:szCs w:val="18"/>
              </w:rPr>
              <w:t xml:space="preserve">Located in high Brand Pull Index market </w:t>
            </w:r>
            <w:r w:rsidR="00772E2D">
              <w:rPr>
                <w:sz w:val="18"/>
                <w:szCs w:val="18"/>
              </w:rPr>
              <w:t>-</w:t>
            </w:r>
            <w:r>
              <w:rPr>
                <w:sz w:val="18"/>
                <w:szCs w:val="18"/>
              </w:rPr>
              <w:t>organic brand affinity present</w:t>
            </w:r>
          </w:p>
        </w:tc>
      </w:tr>
      <w:tr w:rsidR="009B771F" w14:paraId="3C48BBDA"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751D6B52" w14:textId="77777777" w:rsidR="009B771F" w:rsidRDefault="00C825F2">
            <w:r>
              <w:rPr>
                <w:sz w:val="18"/>
                <w:szCs w:val="18"/>
              </w:rPr>
              <w:t>Customer Type</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04AB11EB" w14:textId="77777777" w:rsidR="009B771F" w:rsidRDefault="00C825F2">
            <w:proofErr w:type="spellStart"/>
            <w:r>
              <w:rPr>
                <w:sz w:val="18"/>
                <w:szCs w:val="18"/>
              </w:rPr>
              <w:t>customer_type</w:t>
            </w:r>
            <w:proofErr w:type="spellEnd"/>
            <w:r>
              <w:rPr>
                <w:sz w:val="18"/>
                <w:szCs w:val="18"/>
              </w:rPr>
              <w:t xml:space="preserve"> (funnel chart)</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31DB11DB" w14:textId="77777777" w:rsidR="009B771F" w:rsidRDefault="00C825F2">
            <w:r>
              <w:rPr>
                <w:sz w:val="18"/>
                <w:szCs w:val="18"/>
              </w:rPr>
              <w:t xml:space="preserve">Customer type segment with highest Count of </w:t>
            </w:r>
            <w:proofErr w:type="spellStart"/>
            <w:r>
              <w:rPr>
                <w:sz w:val="18"/>
                <w:szCs w:val="18"/>
              </w:rPr>
              <w:t>customer_id</w:t>
            </w:r>
            <w:proofErr w:type="spellEnd"/>
            <w:r>
              <w:rPr>
                <w:sz w:val="18"/>
                <w:szCs w:val="18"/>
              </w:rPr>
              <w:t xml:space="preserve"> AND highest Revenue Contribution %</w:t>
            </w:r>
          </w:p>
        </w:tc>
      </w:tr>
      <w:tr w:rsidR="009B771F" w14:paraId="193D7C63"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D5B6400" w14:textId="77777777" w:rsidR="009B771F" w:rsidRDefault="00C825F2">
            <w:r>
              <w:rPr>
                <w:sz w:val="18"/>
                <w:szCs w:val="18"/>
              </w:rPr>
              <w:t>Age Cohort</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6182A9E" w14:textId="77777777" w:rsidR="009B771F" w:rsidRDefault="00C825F2">
            <w:proofErr w:type="spellStart"/>
            <w:r>
              <w:rPr>
                <w:sz w:val="18"/>
                <w:szCs w:val="18"/>
              </w:rPr>
              <w:t>age_group</w:t>
            </w:r>
            <w:proofErr w:type="spellEnd"/>
            <w:r>
              <w:rPr>
                <w:sz w:val="18"/>
                <w:szCs w:val="18"/>
              </w:rPr>
              <w:t xml:space="preserve"> (scatter chart)</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2827C857" w14:textId="77777777" w:rsidR="009B771F" w:rsidRDefault="00C825F2">
            <w:r>
              <w:rPr>
                <w:sz w:val="18"/>
                <w:szCs w:val="18"/>
              </w:rPr>
              <w:t>Age group plotting in low-DRR / high-ACV quadrant of scatter chart</w:t>
            </w:r>
          </w:p>
        </w:tc>
      </w:tr>
      <w:tr w:rsidR="009B771F" w14:paraId="21A4EB9A"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66D9A014" w14:textId="77777777" w:rsidR="009B771F" w:rsidRDefault="00C825F2">
            <w:r>
              <w:rPr>
                <w:sz w:val="18"/>
                <w:szCs w:val="18"/>
              </w:rPr>
              <w:t>Entry Category</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45DF0F5C" w14:textId="77777777" w:rsidR="009B771F" w:rsidRDefault="00C825F2">
            <w:r>
              <w:rPr>
                <w:sz w:val="18"/>
                <w:szCs w:val="18"/>
              </w:rPr>
              <w:t>category (bar chart)</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195D0C13" w14:textId="0D044028" w:rsidR="009B771F" w:rsidRDefault="00C825F2">
            <w:r>
              <w:rPr>
                <w:sz w:val="18"/>
                <w:szCs w:val="18"/>
              </w:rPr>
              <w:t xml:space="preserve">Entry category where both Entry Point % and Retention % are high </w:t>
            </w:r>
            <w:r w:rsidR="00772E2D">
              <w:rPr>
                <w:sz w:val="18"/>
                <w:szCs w:val="18"/>
              </w:rPr>
              <w:t>-</w:t>
            </w:r>
            <w:r>
              <w:rPr>
                <w:sz w:val="18"/>
                <w:szCs w:val="18"/>
              </w:rPr>
              <w:t>not just entry</w:t>
            </w:r>
          </w:p>
        </w:tc>
      </w:tr>
    </w:tbl>
    <w:p w14:paraId="4EEF3D59" w14:textId="77777777" w:rsidR="009B771F" w:rsidRDefault="009B771F">
      <w:pPr>
        <w:spacing w:after="100"/>
      </w:pPr>
    </w:p>
    <w:p w14:paraId="4B116755" w14:textId="77777777" w:rsidR="009B771F" w:rsidRDefault="00C825F2">
      <w:pPr>
        <w:pStyle w:val="Heading2"/>
        <w:pBdr>
          <w:bottom w:val="single" w:sz="4" w:space="2" w:color="2E5FA3"/>
        </w:pBdr>
      </w:pPr>
      <w:proofErr w:type="gramStart"/>
      <w:r>
        <w:t>2.2  ICP</w:t>
      </w:r>
      <w:proofErr w:type="gramEnd"/>
      <w:r>
        <w:t xml:space="preserve"> in Plain Language (Marketing-Ready Description)</w:t>
      </w:r>
    </w:p>
    <w:p w14:paraId="4AC24402" w14:textId="77777777" w:rsidR="005C4E86" w:rsidRDefault="005C4E86" w:rsidP="005C4E86">
      <w:pPr>
        <w:spacing w:before="60" w:after="80"/>
      </w:pPr>
    </w:p>
    <w:p w14:paraId="19B7D6D2" w14:textId="045C8F99" w:rsidR="005C4E86" w:rsidRDefault="005C4E86" w:rsidP="005C4E86">
      <w:pPr>
        <w:spacing w:before="60" w:after="60"/>
      </w:pPr>
      <w:r>
        <w:t>The brand's most valuable customer is a full-price buyer in the top-ACV age cohort who entered through a high-retention product category and lives in a market where the brand has strong organic pull. They are not discount-</w:t>
      </w:r>
      <w:proofErr w:type="gramStart"/>
      <w:r>
        <w:t xml:space="preserve">motivated </w:t>
      </w:r>
      <w:r>
        <w:t>,</w:t>
      </w:r>
      <w:r>
        <w:t>their</w:t>
      </w:r>
      <w:proofErr w:type="gramEnd"/>
      <w:r>
        <w:t xml:space="preserve"> purchase decisions are driven by brand affinity and category need, not price signals. They contribute an outsized share of revenue relative to their segment size and continue purchasing after their first transaction without requiring re-activation campaigns.</w:t>
      </w:r>
    </w:p>
    <w:p w14:paraId="3CB904D0" w14:textId="77777777" w:rsidR="005C4E86" w:rsidRDefault="005C4E86" w:rsidP="005C4E86">
      <w:pPr>
        <w:spacing w:after="40"/>
      </w:pPr>
    </w:p>
    <w:p w14:paraId="61BEFB23" w14:textId="6DFD9F98" w:rsidR="009B771F" w:rsidRDefault="005C4E86" w:rsidP="005C4E86">
      <w:pPr>
        <w:spacing w:after="100"/>
      </w:pPr>
      <w:r>
        <w:t xml:space="preserve">A marketing team can use this profile to target lookalike audiences in high Brand Pull Index markets; prioritize messaging in high Entry-Point/high-Retention categories; and qualify leads by filtering out discount-first </w:t>
      </w:r>
      <w:proofErr w:type="spellStart"/>
      <w:r>
        <w:t>behavior</w:t>
      </w:r>
      <w:proofErr w:type="spellEnd"/>
      <w:r>
        <w:t xml:space="preserve"> patterns at the top of the funnel.</w:t>
      </w:r>
    </w:p>
    <w:p w14:paraId="407232C9" w14:textId="77777777" w:rsidR="006B15EB" w:rsidRDefault="006B15EB">
      <w:pPr>
        <w:pStyle w:val="Heading2"/>
        <w:pBdr>
          <w:bottom w:val="single" w:sz="4" w:space="2" w:color="2E5FA3"/>
        </w:pBdr>
      </w:pPr>
    </w:p>
    <w:p w14:paraId="12EAAF8D" w14:textId="77777777" w:rsidR="006B15EB" w:rsidRDefault="006B15EB">
      <w:pPr>
        <w:pStyle w:val="Heading2"/>
        <w:pBdr>
          <w:bottom w:val="single" w:sz="4" w:space="2" w:color="2E5FA3"/>
        </w:pBdr>
      </w:pPr>
    </w:p>
    <w:p w14:paraId="2C543933" w14:textId="77777777" w:rsidR="006B15EB" w:rsidRDefault="006B15EB">
      <w:pPr>
        <w:pStyle w:val="Heading2"/>
        <w:pBdr>
          <w:bottom w:val="single" w:sz="4" w:space="2" w:color="2E5FA3"/>
        </w:pBdr>
      </w:pPr>
    </w:p>
    <w:p w14:paraId="5FE260F7" w14:textId="77777777" w:rsidR="005C4E86" w:rsidRDefault="005C4E86">
      <w:pPr>
        <w:pStyle w:val="Heading2"/>
        <w:pBdr>
          <w:bottom w:val="single" w:sz="4" w:space="2" w:color="2E5FA3"/>
        </w:pBdr>
      </w:pPr>
    </w:p>
    <w:p w14:paraId="7F9405A0" w14:textId="77777777" w:rsidR="005C4E86" w:rsidRDefault="005C4E86">
      <w:pPr>
        <w:pStyle w:val="Heading2"/>
        <w:pBdr>
          <w:bottom w:val="single" w:sz="4" w:space="2" w:color="2E5FA3"/>
        </w:pBdr>
      </w:pPr>
    </w:p>
    <w:p w14:paraId="1FA4A8AF" w14:textId="77777777" w:rsidR="005C4E86" w:rsidRDefault="005C4E86">
      <w:pPr>
        <w:pStyle w:val="Heading2"/>
        <w:pBdr>
          <w:bottom w:val="single" w:sz="4" w:space="2" w:color="2E5FA3"/>
        </w:pBdr>
      </w:pPr>
    </w:p>
    <w:p w14:paraId="76B56B37" w14:textId="6CA8B7EB" w:rsidR="009B771F" w:rsidRDefault="00C825F2">
      <w:pPr>
        <w:pStyle w:val="Heading2"/>
        <w:pBdr>
          <w:bottom w:val="single" w:sz="4" w:space="2" w:color="2E5FA3"/>
        </w:pBdr>
      </w:pPr>
      <w:proofErr w:type="gramStart"/>
      <w:r>
        <w:lastRenderedPageBreak/>
        <w:t>2.3  Channels</w:t>
      </w:r>
      <w:proofErr w:type="gramEnd"/>
      <w:r>
        <w:t xml:space="preserve"> &amp; Messaging Implications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B771F" w14:paraId="327B230D" w14:textId="77777777">
        <w:tblPrEx>
          <w:tblCellMar>
            <w:top w:w="0" w:type="dxa"/>
            <w:bottom w:w="0" w:type="dxa"/>
          </w:tblCellMar>
        </w:tblPrEx>
        <w:tc>
          <w:tcPr>
            <w:tcW w:w="312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28DF26B3" w14:textId="77777777" w:rsidR="009B771F" w:rsidRDefault="00C825F2">
            <w:pPr>
              <w:jc w:val="center"/>
            </w:pPr>
            <w:r>
              <w:rPr>
                <w:b/>
                <w:bCs/>
                <w:color w:val="FFFFFF"/>
                <w:sz w:val="18"/>
                <w:szCs w:val="18"/>
              </w:rPr>
              <w:t>ICP Dimension</w:t>
            </w:r>
          </w:p>
        </w:tc>
        <w:tc>
          <w:tcPr>
            <w:tcW w:w="312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13DC7579" w14:textId="77777777" w:rsidR="009B771F" w:rsidRDefault="00C825F2">
            <w:pPr>
              <w:jc w:val="center"/>
            </w:pPr>
            <w:r>
              <w:rPr>
                <w:b/>
                <w:bCs/>
                <w:color w:val="FFFFFF"/>
                <w:sz w:val="18"/>
                <w:szCs w:val="18"/>
              </w:rPr>
              <w:t>Marketing Implication</w:t>
            </w:r>
          </w:p>
        </w:tc>
        <w:tc>
          <w:tcPr>
            <w:tcW w:w="312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0B9371A3" w14:textId="77777777" w:rsidR="009B771F" w:rsidRDefault="00C825F2">
            <w:pPr>
              <w:jc w:val="center"/>
            </w:pPr>
            <w:r>
              <w:rPr>
                <w:b/>
                <w:bCs/>
                <w:color w:val="FFFFFF"/>
                <w:sz w:val="18"/>
                <w:szCs w:val="18"/>
              </w:rPr>
              <w:t>Action</w:t>
            </w:r>
          </w:p>
        </w:tc>
      </w:tr>
      <w:tr w:rsidR="009B771F" w14:paraId="5FAF5CCD"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38FC8356" w14:textId="77777777" w:rsidR="009B771F" w:rsidRDefault="00C825F2">
            <w:r>
              <w:rPr>
                <w:sz w:val="18"/>
                <w:szCs w:val="18"/>
              </w:rPr>
              <w:t>High Brand Pull Index market</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A475D5F" w14:textId="77777777" w:rsidR="009B771F" w:rsidRDefault="00C825F2">
            <w:r>
              <w:rPr>
                <w:sz w:val="18"/>
                <w:szCs w:val="18"/>
              </w:rPr>
              <w:t>Organic affinity already present</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2ED5EB44" w14:textId="77777777" w:rsidR="009B771F" w:rsidRDefault="00C825F2">
            <w:r>
              <w:rPr>
                <w:sz w:val="18"/>
                <w:szCs w:val="18"/>
              </w:rPr>
              <w:t>Invest in brand reinforcement, not acquisition discounts, in these markets</w:t>
            </w:r>
          </w:p>
        </w:tc>
      </w:tr>
      <w:tr w:rsidR="009B771F" w14:paraId="6A116172"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65882127" w14:textId="77777777" w:rsidR="009B771F" w:rsidRDefault="00C825F2">
            <w:r>
              <w:rPr>
                <w:sz w:val="18"/>
                <w:szCs w:val="18"/>
              </w:rPr>
              <w:t>Low DRR profile</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326CB899" w14:textId="77777777" w:rsidR="009B771F" w:rsidRDefault="00C825F2">
            <w:r>
              <w:rPr>
                <w:sz w:val="18"/>
                <w:szCs w:val="18"/>
              </w:rPr>
              <w:t>Not motivated by promotions</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0FF2A0D9" w14:textId="0DFFD480" w:rsidR="009B771F" w:rsidRDefault="00C825F2">
            <w:r>
              <w:rPr>
                <w:sz w:val="18"/>
                <w:szCs w:val="18"/>
              </w:rPr>
              <w:t xml:space="preserve">Lead with product value, reviews, and lifestyle positioning </w:t>
            </w:r>
            <w:r w:rsidR="00772E2D">
              <w:rPr>
                <w:sz w:val="18"/>
                <w:szCs w:val="18"/>
              </w:rPr>
              <w:t>-</w:t>
            </w:r>
            <w:r>
              <w:rPr>
                <w:sz w:val="18"/>
                <w:szCs w:val="18"/>
              </w:rPr>
              <w:t>not % off messaging</w:t>
            </w:r>
          </w:p>
        </w:tc>
      </w:tr>
      <w:tr w:rsidR="009B771F" w14:paraId="750BD335"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37D45098" w14:textId="77777777" w:rsidR="009B771F" w:rsidRDefault="00C825F2">
            <w:r>
              <w:rPr>
                <w:sz w:val="18"/>
                <w:szCs w:val="18"/>
              </w:rPr>
              <w:t>High-Retention entry category</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6724AC8F" w14:textId="77777777" w:rsidR="009B771F" w:rsidRDefault="00C825F2">
            <w:r>
              <w:rPr>
                <w:sz w:val="18"/>
                <w:szCs w:val="18"/>
              </w:rPr>
              <w:t>First purchase sets the loyalty trajectory</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04FCE5E2" w14:textId="77777777" w:rsidR="009B771F" w:rsidRDefault="00C825F2">
            <w:r>
              <w:rPr>
                <w:sz w:val="18"/>
                <w:szCs w:val="18"/>
              </w:rPr>
              <w:t>Prioritize acquisition in categories with proven Entry-to-Retention conversion</w:t>
            </w:r>
          </w:p>
        </w:tc>
      </w:tr>
      <w:tr w:rsidR="009B771F" w14:paraId="26327972"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61B29CBA" w14:textId="77777777" w:rsidR="009B771F" w:rsidRDefault="00C825F2">
            <w:r>
              <w:rPr>
                <w:sz w:val="18"/>
                <w:szCs w:val="18"/>
              </w:rPr>
              <w:t>Top ACV age cohort</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1C336ACF" w14:textId="77777777" w:rsidR="009B771F" w:rsidRDefault="00C825F2">
            <w:r>
              <w:rPr>
                <w:sz w:val="18"/>
                <w:szCs w:val="18"/>
              </w:rPr>
              <w:t>Highest revenue ceiling</w:t>
            </w:r>
          </w:p>
        </w:tc>
        <w:tc>
          <w:tcPr>
            <w:tcW w:w="312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7B953580" w14:textId="77777777" w:rsidR="009B771F" w:rsidRDefault="00C825F2">
            <w:r>
              <w:rPr>
                <w:sz w:val="18"/>
                <w:szCs w:val="18"/>
              </w:rPr>
              <w:t>Allocate disproportionate budget to reaching this age group across channels</w:t>
            </w:r>
          </w:p>
        </w:tc>
      </w:tr>
      <w:tr w:rsidR="009B771F" w14:paraId="2BEC9AE6" w14:textId="77777777">
        <w:tblPrEx>
          <w:tblCellMar>
            <w:top w:w="0" w:type="dxa"/>
            <w:bottom w:w="0" w:type="dxa"/>
          </w:tblCellMar>
        </w:tblPrEx>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7969CD52" w14:textId="77777777" w:rsidR="009B771F" w:rsidRDefault="00C825F2">
            <w:r>
              <w:rPr>
                <w:sz w:val="18"/>
                <w:szCs w:val="18"/>
              </w:rPr>
              <w:t>Customer type with high Revenue Contribution %</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6AF6CADB" w14:textId="77777777" w:rsidR="009B771F" w:rsidRDefault="00C825F2">
            <w:r>
              <w:rPr>
                <w:sz w:val="18"/>
                <w:szCs w:val="18"/>
              </w:rPr>
              <w:t>Fewer customers, greater impact</w:t>
            </w:r>
          </w:p>
        </w:tc>
        <w:tc>
          <w:tcPr>
            <w:tcW w:w="312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18D12E5E" w14:textId="3A777A87" w:rsidR="009B771F" w:rsidRDefault="00C825F2">
            <w:r>
              <w:rPr>
                <w:sz w:val="18"/>
                <w:szCs w:val="18"/>
              </w:rPr>
              <w:t xml:space="preserve">Focus retention spend here </w:t>
            </w:r>
            <w:r w:rsidR="00772E2D">
              <w:rPr>
                <w:sz w:val="18"/>
                <w:szCs w:val="18"/>
              </w:rPr>
              <w:t>-</w:t>
            </w:r>
            <w:r>
              <w:rPr>
                <w:sz w:val="18"/>
                <w:szCs w:val="18"/>
              </w:rPr>
              <w:t>high LTV makes re-engagement ROI-positive</w:t>
            </w:r>
          </w:p>
        </w:tc>
      </w:tr>
    </w:tbl>
    <w:p w14:paraId="2EFF3FB9" w14:textId="77777777" w:rsidR="009B771F" w:rsidRDefault="009B771F">
      <w:pPr>
        <w:spacing w:after="120"/>
      </w:pPr>
    </w:p>
    <w:p w14:paraId="113C71B4" w14:textId="77777777" w:rsidR="009B771F" w:rsidRDefault="00C825F2">
      <w:pPr>
        <w:pStyle w:val="Heading1"/>
      </w:pPr>
      <w:r>
        <w:t>Section 3: Risk Register</w:t>
      </w:r>
    </w:p>
    <w:p w14:paraId="56E2C388" w14:textId="77777777" w:rsidR="009B771F" w:rsidRDefault="00C825F2">
      <w:pPr>
        <w:spacing w:before="60" w:after="60"/>
      </w:pPr>
      <w:r>
        <w:t>Every recommendation carries an explicit trade-off. The following register documents the primary risks and mitigations.</w:t>
      </w:r>
    </w:p>
    <w:p w14:paraId="54741AA3" w14:textId="77777777" w:rsidR="009B771F" w:rsidRDefault="009B77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B771F" w14:paraId="5CC662D9" w14:textId="77777777">
        <w:tblPrEx>
          <w:tblCellMar>
            <w:top w:w="0" w:type="dxa"/>
            <w:bottom w:w="0" w:type="dxa"/>
          </w:tblCellMar>
        </w:tblPrEx>
        <w:tc>
          <w:tcPr>
            <w:tcW w:w="234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052EBE14" w14:textId="77777777" w:rsidR="009B771F" w:rsidRDefault="00C825F2">
            <w:pPr>
              <w:jc w:val="center"/>
            </w:pPr>
            <w:r>
              <w:rPr>
                <w:b/>
                <w:bCs/>
                <w:color w:val="FFFFFF"/>
                <w:sz w:val="18"/>
                <w:szCs w:val="18"/>
              </w:rPr>
              <w:t>Recommendation</w:t>
            </w:r>
          </w:p>
        </w:tc>
        <w:tc>
          <w:tcPr>
            <w:tcW w:w="234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6D3EB717" w14:textId="77777777" w:rsidR="009B771F" w:rsidRDefault="00C825F2">
            <w:pPr>
              <w:jc w:val="center"/>
            </w:pPr>
            <w:r>
              <w:rPr>
                <w:b/>
                <w:bCs/>
                <w:color w:val="FFFFFF"/>
                <w:sz w:val="18"/>
                <w:szCs w:val="18"/>
              </w:rPr>
              <w:t>Primary Risk</w:t>
            </w:r>
          </w:p>
        </w:tc>
        <w:tc>
          <w:tcPr>
            <w:tcW w:w="234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1A02E58B" w14:textId="77777777" w:rsidR="009B771F" w:rsidRDefault="00C825F2">
            <w:pPr>
              <w:jc w:val="center"/>
            </w:pPr>
            <w:r>
              <w:rPr>
                <w:b/>
                <w:bCs/>
                <w:color w:val="FFFFFF"/>
                <w:sz w:val="18"/>
                <w:szCs w:val="18"/>
              </w:rPr>
              <w:t>Likelihood</w:t>
            </w:r>
          </w:p>
        </w:tc>
        <w:tc>
          <w:tcPr>
            <w:tcW w:w="234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7C2CC675" w14:textId="77777777" w:rsidR="009B771F" w:rsidRDefault="00C825F2">
            <w:pPr>
              <w:jc w:val="center"/>
            </w:pPr>
            <w:r>
              <w:rPr>
                <w:b/>
                <w:bCs/>
                <w:color w:val="FFFFFF"/>
                <w:sz w:val="18"/>
                <w:szCs w:val="18"/>
              </w:rPr>
              <w:t>Mitigation</w:t>
            </w:r>
          </w:p>
        </w:tc>
      </w:tr>
      <w:tr w:rsidR="009B771F" w14:paraId="3FB1331A" w14:textId="77777777">
        <w:tblPrEx>
          <w:tblCellMar>
            <w:top w:w="0" w:type="dxa"/>
            <w:bottom w:w="0" w:type="dxa"/>
          </w:tblCellMar>
        </w:tblPrEx>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1CB11D9" w14:textId="77777777" w:rsidR="009B771F" w:rsidRDefault="00C825F2">
            <w:r>
              <w:rPr>
                <w:sz w:val="18"/>
                <w:szCs w:val="18"/>
              </w:rPr>
              <w:t>Sunset discounts: High-DRR/High-ACV cohort</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267884B4" w14:textId="77777777" w:rsidR="009B771F" w:rsidRDefault="00C825F2">
            <w:r>
              <w:rPr>
                <w:sz w:val="18"/>
                <w:szCs w:val="18"/>
              </w:rPr>
              <w:t>12-18% churn in price-sensitive sub-segment</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7887C32E" w14:textId="77777777" w:rsidR="009B771F" w:rsidRDefault="00C825F2">
            <w:r>
              <w:rPr>
                <w:sz w:val="18"/>
                <w:szCs w:val="18"/>
              </w:rPr>
              <w:t>Medium</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0B57BB18" w14:textId="77777777" w:rsidR="009B771F" w:rsidRDefault="00C825F2">
            <w:r>
              <w:rPr>
                <w:sz w:val="18"/>
                <w:szCs w:val="18"/>
              </w:rPr>
              <w:t>Offer loyalty programme as non-discount retention lever before sunset begins</w:t>
            </w:r>
          </w:p>
        </w:tc>
      </w:tr>
      <w:tr w:rsidR="009B771F" w14:paraId="5EC04066" w14:textId="77777777">
        <w:tblPrEx>
          <w:tblCellMar>
            <w:top w:w="0" w:type="dxa"/>
            <w:bottom w:w="0" w:type="dxa"/>
          </w:tblCellMar>
        </w:tblPrEx>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0C024CCE" w14:textId="77777777" w:rsidR="009B771F" w:rsidRDefault="00C825F2">
            <w:r>
              <w:rPr>
                <w:sz w:val="18"/>
                <w:szCs w:val="18"/>
              </w:rPr>
              <w:t>Sunset discounts: High Entry/Low Retention categories</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4F4944F0" w14:textId="77777777" w:rsidR="009B771F" w:rsidRDefault="00C825F2">
            <w:r>
              <w:rPr>
                <w:sz w:val="18"/>
                <w:szCs w:val="18"/>
              </w:rPr>
              <w:t>20-25% drop in new customer acquisition</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48E69DAD" w14:textId="77777777" w:rsidR="009B771F" w:rsidRDefault="00C825F2">
            <w:r>
              <w:rPr>
                <w:sz w:val="18"/>
                <w:szCs w:val="18"/>
              </w:rPr>
              <w:t>High (short-term)</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523BE4AA" w14:textId="77777777" w:rsidR="009B771F" w:rsidRDefault="00C825F2">
            <w:r>
              <w:rPr>
                <w:sz w:val="18"/>
                <w:szCs w:val="18"/>
              </w:rPr>
              <w:t>Pre-build alternative acquisition pipeline (referral, SEO, content) 1 quarter before sunset</w:t>
            </w:r>
          </w:p>
        </w:tc>
      </w:tr>
      <w:tr w:rsidR="009B771F" w14:paraId="118B7BAF" w14:textId="77777777">
        <w:tblPrEx>
          <w:tblCellMar>
            <w:top w:w="0" w:type="dxa"/>
            <w:bottom w:w="0" w:type="dxa"/>
          </w:tblCellMar>
        </w:tblPrEx>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10735F73" w14:textId="77777777" w:rsidR="009B771F" w:rsidRDefault="00C825F2">
            <w:r>
              <w:rPr>
                <w:sz w:val="18"/>
                <w:szCs w:val="18"/>
              </w:rPr>
              <w:t>Geographic sunset prioritisation</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352182D0" w14:textId="77777777" w:rsidR="009B771F" w:rsidRDefault="00C825F2">
            <w:r>
              <w:rPr>
                <w:sz w:val="18"/>
                <w:szCs w:val="18"/>
              </w:rPr>
              <w:t>Misclassified markets if Brand Pull Index data is lagged</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61A43CB4" w14:textId="77777777" w:rsidR="009B771F" w:rsidRDefault="00C825F2">
            <w:r>
              <w:rPr>
                <w:sz w:val="18"/>
                <w:szCs w:val="18"/>
              </w:rPr>
              <w:t>Low-Medium</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74B9A8BE" w14:textId="77777777" w:rsidR="009B771F" w:rsidRDefault="00C825F2">
            <w:r>
              <w:rPr>
                <w:sz w:val="18"/>
                <w:szCs w:val="18"/>
              </w:rPr>
              <w:t>Validate Brand Pull Index with recent Net Promoter Score or re-purchase rate data before actioning</w:t>
            </w:r>
          </w:p>
        </w:tc>
      </w:tr>
      <w:tr w:rsidR="009B771F" w14:paraId="36E6AFFE" w14:textId="77777777">
        <w:tblPrEx>
          <w:tblCellMar>
            <w:top w:w="0" w:type="dxa"/>
            <w:bottom w:w="0" w:type="dxa"/>
          </w:tblCellMar>
        </w:tblPrEx>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2F14A963" w14:textId="77777777" w:rsidR="009B771F" w:rsidRDefault="00C825F2">
            <w:r>
              <w:rPr>
                <w:sz w:val="18"/>
                <w:szCs w:val="18"/>
              </w:rPr>
              <w:t>ICP targeting</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46B31960" w14:textId="77777777" w:rsidR="009B771F" w:rsidRDefault="00C825F2">
            <w:r>
              <w:rPr>
                <w:sz w:val="18"/>
                <w:szCs w:val="18"/>
              </w:rPr>
              <w:t>Over-narrowing acquisition pool reducing growth</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5FE14C9E" w14:textId="77777777" w:rsidR="009B771F" w:rsidRDefault="00C825F2">
            <w:r>
              <w:rPr>
                <w:sz w:val="18"/>
                <w:szCs w:val="18"/>
              </w:rPr>
              <w:t>Low</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614533F2" w14:textId="77777777" w:rsidR="009B771F" w:rsidRDefault="00C825F2">
            <w:r>
              <w:rPr>
                <w:sz w:val="18"/>
                <w:szCs w:val="18"/>
              </w:rPr>
              <w:t>Use ICP as primary targeting layer with a 20% budget allocation to adjacent segments for discovery</w:t>
            </w:r>
          </w:p>
        </w:tc>
      </w:tr>
    </w:tbl>
    <w:p w14:paraId="4AFA7E63" w14:textId="77777777" w:rsidR="009B771F" w:rsidRDefault="009B771F">
      <w:pPr>
        <w:spacing w:after="120"/>
      </w:pPr>
    </w:p>
    <w:p w14:paraId="7B6B9D60" w14:textId="77777777" w:rsidR="006B15EB" w:rsidRDefault="006B15EB">
      <w:pPr>
        <w:pStyle w:val="Heading1"/>
      </w:pPr>
    </w:p>
    <w:p w14:paraId="0027E385" w14:textId="77777777" w:rsidR="006B15EB" w:rsidRDefault="006B15EB">
      <w:pPr>
        <w:pStyle w:val="Heading1"/>
      </w:pPr>
    </w:p>
    <w:p w14:paraId="06CF7103" w14:textId="6A815F0A" w:rsidR="009B771F" w:rsidRDefault="00C825F2">
      <w:pPr>
        <w:pStyle w:val="Heading1"/>
      </w:pPr>
      <w:r>
        <w:lastRenderedPageBreak/>
        <w:t>Section 4: Measurement Framework</w:t>
      </w:r>
    </w:p>
    <w:p w14:paraId="5F2F39C8" w14:textId="77777777" w:rsidR="009B771F" w:rsidRDefault="00C825F2">
      <w:pPr>
        <w:spacing w:before="60" w:after="60"/>
      </w:pPr>
      <w:r>
        <w:t>The following metrics should be tracked monthly for the first 6 months post-implementation and quarterly thereafter.</w:t>
      </w:r>
    </w:p>
    <w:p w14:paraId="31C8A89D" w14:textId="77777777" w:rsidR="009B771F" w:rsidRDefault="009B771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B771F" w14:paraId="7DAD77FC" w14:textId="77777777">
        <w:tblPrEx>
          <w:tblCellMar>
            <w:top w:w="0" w:type="dxa"/>
            <w:bottom w:w="0" w:type="dxa"/>
          </w:tblCellMar>
        </w:tblPrEx>
        <w:tc>
          <w:tcPr>
            <w:tcW w:w="234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79F96BA5" w14:textId="77777777" w:rsidR="009B771F" w:rsidRDefault="00C825F2">
            <w:pPr>
              <w:jc w:val="center"/>
            </w:pPr>
            <w:r>
              <w:rPr>
                <w:b/>
                <w:bCs/>
                <w:color w:val="FFFFFF"/>
                <w:sz w:val="18"/>
                <w:szCs w:val="18"/>
              </w:rPr>
              <w:t>Metric</w:t>
            </w:r>
          </w:p>
        </w:tc>
        <w:tc>
          <w:tcPr>
            <w:tcW w:w="234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70A38642" w14:textId="77777777" w:rsidR="009B771F" w:rsidRDefault="00C825F2">
            <w:pPr>
              <w:jc w:val="center"/>
            </w:pPr>
            <w:r>
              <w:rPr>
                <w:b/>
                <w:bCs/>
                <w:color w:val="FFFFFF"/>
                <w:sz w:val="18"/>
                <w:szCs w:val="18"/>
              </w:rPr>
              <w:t>Baseline Source</w:t>
            </w:r>
          </w:p>
        </w:tc>
        <w:tc>
          <w:tcPr>
            <w:tcW w:w="234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4C6292C7" w14:textId="77777777" w:rsidR="009B771F" w:rsidRDefault="00C825F2">
            <w:pPr>
              <w:jc w:val="center"/>
            </w:pPr>
            <w:r>
              <w:rPr>
                <w:b/>
                <w:bCs/>
                <w:color w:val="FFFFFF"/>
                <w:sz w:val="18"/>
                <w:szCs w:val="18"/>
              </w:rPr>
              <w:t>Target Direction</w:t>
            </w:r>
          </w:p>
        </w:tc>
        <w:tc>
          <w:tcPr>
            <w:tcW w:w="2340" w:type="dxa"/>
            <w:tcBorders>
              <w:top w:val="single" w:sz="1" w:space="0" w:color="2E5FA3"/>
              <w:left w:val="single" w:sz="1" w:space="0" w:color="2E5FA3"/>
              <w:bottom w:val="single" w:sz="1" w:space="0" w:color="2E5FA3"/>
              <w:right w:val="single" w:sz="1" w:space="0" w:color="2E5FA3"/>
            </w:tcBorders>
            <w:shd w:val="clear" w:color="auto" w:fill="1F3A6E"/>
            <w:tcMar>
              <w:top w:w="80" w:type="dxa"/>
              <w:left w:w="120" w:type="dxa"/>
              <w:bottom w:w="80" w:type="dxa"/>
              <w:right w:w="120" w:type="dxa"/>
            </w:tcMar>
          </w:tcPr>
          <w:p w14:paraId="7CA5BF6B" w14:textId="77777777" w:rsidR="009B771F" w:rsidRDefault="00C825F2">
            <w:pPr>
              <w:jc w:val="center"/>
            </w:pPr>
            <w:r>
              <w:rPr>
                <w:b/>
                <w:bCs/>
                <w:color w:val="FFFFFF"/>
                <w:sz w:val="18"/>
                <w:szCs w:val="18"/>
              </w:rPr>
              <w:t>Review Cadence</w:t>
            </w:r>
          </w:p>
        </w:tc>
      </w:tr>
      <w:tr w:rsidR="009B771F" w14:paraId="65B49FFB" w14:textId="77777777">
        <w:tblPrEx>
          <w:tblCellMar>
            <w:top w:w="0" w:type="dxa"/>
            <w:bottom w:w="0" w:type="dxa"/>
          </w:tblCellMar>
        </w:tblPrEx>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02E0F22A" w14:textId="77777777" w:rsidR="009B771F" w:rsidRDefault="00C825F2">
            <w:r>
              <w:rPr>
                <w:sz w:val="18"/>
                <w:szCs w:val="18"/>
              </w:rPr>
              <w:t>Discount Reliance Ratio (DRR)</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0AB6F33A" w14:textId="012B87DD" w:rsidR="009B771F" w:rsidRDefault="00C825F2">
            <w:r>
              <w:rPr>
                <w:sz w:val="18"/>
                <w:szCs w:val="18"/>
              </w:rPr>
              <w:t xml:space="preserve">Scatter chart </w:t>
            </w:r>
            <w:r w:rsidR="00772E2D">
              <w:rPr>
                <w:sz w:val="18"/>
                <w:szCs w:val="18"/>
              </w:rPr>
              <w:t>-</w:t>
            </w:r>
            <w:r>
              <w:rPr>
                <w:sz w:val="18"/>
                <w:szCs w:val="18"/>
              </w:rPr>
              <w:t>by age group</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279DB3DE" w14:textId="77777777" w:rsidR="009B771F" w:rsidRDefault="00C825F2">
            <w:r>
              <w:rPr>
                <w:sz w:val="18"/>
                <w:szCs w:val="18"/>
              </w:rPr>
              <w:t>Declining quarter-over-quarter for sunset segments</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680A142B" w14:textId="77777777" w:rsidR="009B771F" w:rsidRDefault="00C825F2">
            <w:r>
              <w:rPr>
                <w:sz w:val="18"/>
                <w:szCs w:val="18"/>
              </w:rPr>
              <w:t>Monthly</w:t>
            </w:r>
          </w:p>
        </w:tc>
      </w:tr>
      <w:tr w:rsidR="009B771F" w14:paraId="6FD7A26E" w14:textId="77777777">
        <w:tblPrEx>
          <w:tblCellMar>
            <w:top w:w="0" w:type="dxa"/>
            <w:bottom w:w="0" w:type="dxa"/>
          </w:tblCellMar>
        </w:tblPrEx>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5D6A46FC" w14:textId="77777777" w:rsidR="009B771F" w:rsidRDefault="00C825F2">
            <w:r>
              <w:rPr>
                <w:sz w:val="18"/>
                <w:szCs w:val="18"/>
              </w:rPr>
              <w:t>Average Customer Value (ACV)</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5132137A" w14:textId="77777777" w:rsidR="009B771F" w:rsidRDefault="00C825F2">
            <w:r>
              <w:rPr>
                <w:sz w:val="18"/>
                <w:szCs w:val="18"/>
              </w:rPr>
              <w:t>Scatter chart</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092218AC" w14:textId="77777777" w:rsidR="009B771F" w:rsidRDefault="00C825F2">
            <w:r>
              <w:rPr>
                <w:sz w:val="18"/>
                <w:szCs w:val="18"/>
              </w:rPr>
              <w:t>Stable or increasing as DRR falls</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7C1940CB" w14:textId="77777777" w:rsidR="009B771F" w:rsidRDefault="00C825F2">
            <w:r>
              <w:rPr>
                <w:sz w:val="18"/>
                <w:szCs w:val="18"/>
              </w:rPr>
              <w:t>Monthly</w:t>
            </w:r>
          </w:p>
        </w:tc>
      </w:tr>
      <w:tr w:rsidR="009B771F" w14:paraId="7507B820" w14:textId="77777777">
        <w:tblPrEx>
          <w:tblCellMar>
            <w:top w:w="0" w:type="dxa"/>
            <w:bottom w:w="0" w:type="dxa"/>
          </w:tblCellMar>
        </w:tblPrEx>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3E7F4B60" w14:textId="77777777" w:rsidR="009B771F" w:rsidRDefault="00C825F2">
            <w:r>
              <w:rPr>
                <w:sz w:val="18"/>
                <w:szCs w:val="18"/>
              </w:rPr>
              <w:t>Gross Margin %</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347B6DA1" w14:textId="77777777" w:rsidR="009B771F" w:rsidRDefault="00C825F2">
            <w:r>
              <w:rPr>
                <w:sz w:val="18"/>
                <w:szCs w:val="18"/>
              </w:rPr>
              <w:t>Derived from Total Spend and promo cost</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7E298576" w14:textId="77777777" w:rsidR="009B771F" w:rsidRDefault="00C825F2">
            <w:r>
              <w:rPr>
                <w:sz w:val="18"/>
                <w:szCs w:val="18"/>
              </w:rPr>
              <w:t>+8-12% in sunset segments within 12 months</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19F2071E" w14:textId="77777777" w:rsidR="009B771F" w:rsidRDefault="00C825F2">
            <w:r>
              <w:rPr>
                <w:sz w:val="18"/>
                <w:szCs w:val="18"/>
              </w:rPr>
              <w:t>Monthly</w:t>
            </w:r>
          </w:p>
        </w:tc>
      </w:tr>
      <w:tr w:rsidR="009B771F" w14:paraId="2FE83B2C" w14:textId="77777777">
        <w:tblPrEx>
          <w:tblCellMar>
            <w:top w:w="0" w:type="dxa"/>
            <w:bottom w:w="0" w:type="dxa"/>
          </w:tblCellMar>
        </w:tblPrEx>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442FA69A" w14:textId="77777777" w:rsidR="009B771F" w:rsidRDefault="00C825F2">
            <w:r>
              <w:rPr>
                <w:sz w:val="18"/>
                <w:szCs w:val="18"/>
              </w:rPr>
              <w:t>Retention %</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731728E6" w14:textId="10C95E34" w:rsidR="009B771F" w:rsidRDefault="00C825F2">
            <w:r>
              <w:rPr>
                <w:sz w:val="18"/>
                <w:szCs w:val="18"/>
              </w:rPr>
              <w:t xml:space="preserve">Bar chart </w:t>
            </w:r>
            <w:r w:rsidR="00772E2D">
              <w:rPr>
                <w:sz w:val="18"/>
                <w:szCs w:val="18"/>
              </w:rPr>
              <w:t>-</w:t>
            </w:r>
            <w:r>
              <w:rPr>
                <w:sz w:val="18"/>
                <w:szCs w:val="18"/>
              </w:rPr>
              <w:t>by category</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5A890048" w14:textId="77777777" w:rsidR="009B771F" w:rsidRDefault="00C825F2">
            <w:r>
              <w:rPr>
                <w:sz w:val="18"/>
                <w:szCs w:val="18"/>
              </w:rPr>
              <w:t>Minimum +5pp improvement in target categories within 2 quarters</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54DCA664" w14:textId="77777777" w:rsidR="009B771F" w:rsidRDefault="00C825F2">
            <w:r>
              <w:rPr>
                <w:sz w:val="18"/>
                <w:szCs w:val="18"/>
              </w:rPr>
              <w:t>Monthly</w:t>
            </w:r>
          </w:p>
        </w:tc>
      </w:tr>
      <w:tr w:rsidR="009B771F" w14:paraId="04B14118" w14:textId="77777777">
        <w:tblPrEx>
          <w:tblCellMar>
            <w:top w:w="0" w:type="dxa"/>
            <w:bottom w:w="0" w:type="dxa"/>
          </w:tblCellMar>
        </w:tblPrEx>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7B32CF96" w14:textId="77777777" w:rsidR="009B771F" w:rsidRDefault="00C825F2">
            <w:r>
              <w:rPr>
                <w:sz w:val="18"/>
                <w:szCs w:val="18"/>
              </w:rPr>
              <w:t>Revenue Contribution % by customer type</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6752AE11" w14:textId="77777777" w:rsidR="009B771F" w:rsidRDefault="00C825F2">
            <w:r>
              <w:rPr>
                <w:sz w:val="18"/>
                <w:szCs w:val="18"/>
              </w:rPr>
              <w:t>Funnel chart</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69ECB6B0" w14:textId="77777777" w:rsidR="009B771F" w:rsidRDefault="00C825F2">
            <w:r>
              <w:rPr>
                <w:sz w:val="18"/>
                <w:szCs w:val="18"/>
              </w:rPr>
              <w:t>ICP customer type share increasing</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39296916" w14:textId="77777777" w:rsidR="009B771F" w:rsidRDefault="00C825F2">
            <w:r>
              <w:rPr>
                <w:sz w:val="18"/>
                <w:szCs w:val="18"/>
              </w:rPr>
              <w:t>Quarterly</w:t>
            </w:r>
          </w:p>
        </w:tc>
      </w:tr>
      <w:tr w:rsidR="009B771F" w14:paraId="164AAE70" w14:textId="77777777">
        <w:tblPrEx>
          <w:tblCellMar>
            <w:top w:w="0" w:type="dxa"/>
            <w:bottom w:w="0" w:type="dxa"/>
          </w:tblCellMar>
        </w:tblPrEx>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1F1AEFDE" w14:textId="77777777" w:rsidR="009B771F" w:rsidRDefault="00C825F2">
            <w:r>
              <w:rPr>
                <w:sz w:val="18"/>
                <w:szCs w:val="18"/>
              </w:rPr>
              <w:t>Brand Pull Index</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6770C953" w14:textId="77777777" w:rsidR="009B771F" w:rsidRDefault="00C825F2">
            <w:r>
              <w:rPr>
                <w:sz w:val="18"/>
                <w:szCs w:val="18"/>
              </w:rPr>
              <w:t>Shape map</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6CE85F66" w14:textId="77777777" w:rsidR="009B771F" w:rsidRDefault="00C825F2">
            <w:r>
              <w:rPr>
                <w:sz w:val="18"/>
                <w:szCs w:val="18"/>
              </w:rPr>
              <w:t>Stable or growing in sunset markets</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29A0BBA0" w14:textId="77777777" w:rsidR="009B771F" w:rsidRDefault="00C825F2">
            <w:r>
              <w:rPr>
                <w:sz w:val="18"/>
                <w:szCs w:val="18"/>
              </w:rPr>
              <w:t>Quarterly</w:t>
            </w:r>
          </w:p>
        </w:tc>
      </w:tr>
      <w:tr w:rsidR="009B771F" w14:paraId="252E3B62" w14:textId="77777777">
        <w:tblPrEx>
          <w:tblCellMar>
            <w:top w:w="0" w:type="dxa"/>
            <w:bottom w:w="0" w:type="dxa"/>
          </w:tblCellMar>
        </w:tblPrEx>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A12B2D6" w14:textId="77777777" w:rsidR="009B771F" w:rsidRDefault="00C825F2">
            <w:r>
              <w:rPr>
                <w:sz w:val="18"/>
                <w:szCs w:val="18"/>
              </w:rPr>
              <w:t>New Customer Acquisition Rate</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4A63A5C4" w14:textId="77777777" w:rsidR="009B771F" w:rsidRDefault="00C825F2">
            <w:r>
              <w:rPr>
                <w:sz w:val="18"/>
                <w:szCs w:val="18"/>
              </w:rPr>
              <w:t xml:space="preserve">Count of </w:t>
            </w:r>
            <w:proofErr w:type="spellStart"/>
            <w:r>
              <w:rPr>
                <w:sz w:val="18"/>
                <w:szCs w:val="18"/>
              </w:rPr>
              <w:t>customer_id</w:t>
            </w:r>
            <w:proofErr w:type="spellEnd"/>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6BDB2ADD" w14:textId="77777777" w:rsidR="009B771F" w:rsidRDefault="00C825F2">
            <w:r>
              <w:rPr>
                <w:sz w:val="18"/>
                <w:szCs w:val="18"/>
              </w:rPr>
              <w:t>Monitor for &gt;20pp decline as a warning threshold</w:t>
            </w:r>
          </w:p>
        </w:tc>
        <w:tc>
          <w:tcPr>
            <w:tcW w:w="2340" w:type="dxa"/>
            <w:tcBorders>
              <w:top w:val="single" w:sz="1" w:space="0" w:color="C7CDD6"/>
              <w:left w:val="single" w:sz="1" w:space="0" w:color="C7CDD6"/>
              <w:bottom w:val="single" w:sz="1" w:space="0" w:color="C7CDD6"/>
              <w:right w:val="single" w:sz="1" w:space="0" w:color="C7CDD6"/>
            </w:tcBorders>
            <w:shd w:val="clear" w:color="auto" w:fill="FFFFFF"/>
            <w:tcMar>
              <w:top w:w="80" w:type="dxa"/>
              <w:left w:w="120" w:type="dxa"/>
              <w:bottom w:w="80" w:type="dxa"/>
              <w:right w:w="120" w:type="dxa"/>
            </w:tcMar>
          </w:tcPr>
          <w:p w14:paraId="5208583F" w14:textId="77777777" w:rsidR="009B771F" w:rsidRDefault="00C825F2">
            <w:r>
              <w:rPr>
                <w:sz w:val="18"/>
                <w:szCs w:val="18"/>
              </w:rPr>
              <w:t>Monthly</w:t>
            </w:r>
          </w:p>
        </w:tc>
      </w:tr>
      <w:tr w:rsidR="009B771F" w14:paraId="0DBD2043" w14:textId="77777777">
        <w:tblPrEx>
          <w:tblCellMar>
            <w:top w:w="0" w:type="dxa"/>
            <w:bottom w:w="0" w:type="dxa"/>
          </w:tblCellMar>
        </w:tblPrEx>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79A8F7EA" w14:textId="77777777" w:rsidR="009B771F" w:rsidRDefault="00C825F2">
            <w:r>
              <w:rPr>
                <w:sz w:val="18"/>
                <w:szCs w:val="18"/>
              </w:rPr>
              <w:t>DRR for ICP segment</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623BB9A0" w14:textId="77777777" w:rsidR="009B771F" w:rsidRDefault="00C825F2">
            <w:r>
              <w:rPr>
                <w:sz w:val="18"/>
                <w:szCs w:val="18"/>
              </w:rPr>
              <w:t>Scatter chart filtered to ICP age group</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284D2570" w14:textId="77777777" w:rsidR="009B771F" w:rsidRDefault="00C825F2">
            <w:r>
              <w:rPr>
                <w:sz w:val="18"/>
                <w:szCs w:val="18"/>
              </w:rPr>
              <w:t>Maintain &lt; 0.35 as ICP definition threshold</w:t>
            </w:r>
          </w:p>
        </w:tc>
        <w:tc>
          <w:tcPr>
            <w:tcW w:w="2340" w:type="dxa"/>
            <w:tcBorders>
              <w:top w:val="single" w:sz="1" w:space="0" w:color="C7CDD6"/>
              <w:left w:val="single" w:sz="1" w:space="0" w:color="C7CDD6"/>
              <w:bottom w:val="single" w:sz="1" w:space="0" w:color="C7CDD6"/>
              <w:right w:val="single" w:sz="1" w:space="0" w:color="C7CDD6"/>
            </w:tcBorders>
            <w:shd w:val="clear" w:color="auto" w:fill="F2F4F7"/>
            <w:tcMar>
              <w:top w:w="80" w:type="dxa"/>
              <w:left w:w="120" w:type="dxa"/>
              <w:bottom w:w="80" w:type="dxa"/>
              <w:right w:w="120" w:type="dxa"/>
            </w:tcMar>
          </w:tcPr>
          <w:p w14:paraId="32A20C42" w14:textId="77777777" w:rsidR="009B771F" w:rsidRDefault="00C825F2">
            <w:r>
              <w:rPr>
                <w:sz w:val="18"/>
                <w:szCs w:val="18"/>
              </w:rPr>
              <w:t>Quarterly</w:t>
            </w:r>
          </w:p>
        </w:tc>
      </w:tr>
    </w:tbl>
    <w:p w14:paraId="2B8B6D7A" w14:textId="77777777" w:rsidR="009B771F" w:rsidRDefault="009B771F">
      <w:pPr>
        <w:spacing w:after="120"/>
      </w:pPr>
    </w:p>
    <w:p w14:paraId="61C1D30F" w14:textId="77777777" w:rsidR="009B771F" w:rsidRDefault="009B771F">
      <w:pPr>
        <w:spacing w:after="40"/>
      </w:pPr>
    </w:p>
    <w:sectPr w:rsidR="009B771F">
      <w:head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39205" w14:textId="77777777" w:rsidR="00C825F2" w:rsidRDefault="00C825F2">
      <w:r>
        <w:separator/>
      </w:r>
    </w:p>
  </w:endnote>
  <w:endnote w:type="continuationSeparator" w:id="0">
    <w:p w14:paraId="35174BA3" w14:textId="77777777" w:rsidR="00C825F2" w:rsidRDefault="00C82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466EC" w14:textId="77777777" w:rsidR="00C825F2" w:rsidRDefault="00C825F2">
      <w:r>
        <w:separator/>
      </w:r>
    </w:p>
  </w:footnote>
  <w:footnote w:type="continuationSeparator" w:id="0">
    <w:p w14:paraId="7A34F6B1" w14:textId="77777777" w:rsidR="00C825F2" w:rsidRDefault="00C82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D4E5" w14:textId="281E8DEE" w:rsidR="009B771F" w:rsidRDefault="00C825F2">
    <w:pPr>
      <w:pBdr>
        <w:bottom w:val="single" w:sz="4" w:space="2" w:color="2E5FA3"/>
      </w:pBdr>
    </w:pPr>
    <w:r>
      <w:rPr>
        <w:b/>
        <w:bCs/>
        <w:color w:val="2E5FA3"/>
        <w:sz w:val="18"/>
        <w:szCs w:val="18"/>
      </w:rPr>
      <w:t xml:space="preserve">RETENTION </w:t>
    </w:r>
    <w:proofErr w:type="gramStart"/>
    <w:r>
      <w:rPr>
        <w:b/>
        <w:bCs/>
        <w:color w:val="2E5FA3"/>
        <w:sz w:val="18"/>
        <w:szCs w:val="18"/>
      </w:rPr>
      <w:t>PLAYBOOK  |</w:t>
    </w:r>
    <w:proofErr w:type="gramEnd"/>
    <w:r>
      <w:rPr>
        <w:b/>
        <w:bCs/>
        <w:color w:val="2E5FA3"/>
        <w:sz w:val="18"/>
        <w:szCs w:val="18"/>
      </w:rPr>
      <w:t xml:space="preserve">  BUSINESS RECOMMENDATIONS</w:t>
    </w:r>
    <w:r>
      <w:rPr>
        <w:sz w:val="18"/>
        <w:szCs w:val="18"/>
      </w:rPr>
      <w:t xml:space="preserve">   </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FEA"/>
    <w:multiLevelType w:val="hybridMultilevel"/>
    <w:tmpl w:val="EB9C852A"/>
    <w:lvl w:ilvl="0" w:tplc="019AD78E">
      <w:start w:val="1"/>
      <w:numFmt w:val="bullet"/>
      <w:lvlText w:val="●"/>
      <w:lvlJc w:val="left"/>
      <w:pPr>
        <w:ind w:left="720" w:hanging="360"/>
      </w:pPr>
    </w:lvl>
    <w:lvl w:ilvl="1" w:tplc="DFDEEB92">
      <w:start w:val="1"/>
      <w:numFmt w:val="bullet"/>
      <w:lvlText w:val="○"/>
      <w:lvlJc w:val="left"/>
      <w:pPr>
        <w:ind w:left="1440" w:hanging="360"/>
      </w:pPr>
    </w:lvl>
    <w:lvl w:ilvl="2" w:tplc="0778E52C">
      <w:start w:val="1"/>
      <w:numFmt w:val="bullet"/>
      <w:lvlText w:val="■"/>
      <w:lvlJc w:val="left"/>
      <w:pPr>
        <w:ind w:left="2160" w:hanging="360"/>
      </w:pPr>
    </w:lvl>
    <w:lvl w:ilvl="3" w:tplc="84645E9C">
      <w:start w:val="1"/>
      <w:numFmt w:val="bullet"/>
      <w:lvlText w:val="●"/>
      <w:lvlJc w:val="left"/>
      <w:pPr>
        <w:ind w:left="2880" w:hanging="360"/>
      </w:pPr>
    </w:lvl>
    <w:lvl w:ilvl="4" w:tplc="FB687370">
      <w:start w:val="1"/>
      <w:numFmt w:val="bullet"/>
      <w:lvlText w:val="○"/>
      <w:lvlJc w:val="left"/>
      <w:pPr>
        <w:ind w:left="3600" w:hanging="360"/>
      </w:pPr>
    </w:lvl>
    <w:lvl w:ilvl="5" w:tplc="237EEF34">
      <w:start w:val="1"/>
      <w:numFmt w:val="bullet"/>
      <w:lvlText w:val="■"/>
      <w:lvlJc w:val="left"/>
      <w:pPr>
        <w:ind w:left="4320" w:hanging="360"/>
      </w:pPr>
    </w:lvl>
    <w:lvl w:ilvl="6" w:tplc="4ABA2966">
      <w:start w:val="1"/>
      <w:numFmt w:val="bullet"/>
      <w:lvlText w:val="●"/>
      <w:lvlJc w:val="left"/>
      <w:pPr>
        <w:ind w:left="5040" w:hanging="360"/>
      </w:pPr>
    </w:lvl>
    <w:lvl w:ilvl="7" w:tplc="A2E22718">
      <w:start w:val="1"/>
      <w:numFmt w:val="bullet"/>
      <w:lvlText w:val="●"/>
      <w:lvlJc w:val="left"/>
      <w:pPr>
        <w:ind w:left="5760" w:hanging="360"/>
      </w:pPr>
    </w:lvl>
    <w:lvl w:ilvl="8" w:tplc="1BB41D64">
      <w:start w:val="1"/>
      <w:numFmt w:val="bullet"/>
      <w:lvlText w:val="●"/>
      <w:lvlJc w:val="left"/>
      <w:pPr>
        <w:ind w:left="6480" w:hanging="360"/>
      </w:pPr>
    </w:lvl>
  </w:abstractNum>
  <w:abstractNum w:abstractNumId="1" w15:restartNumberingAfterBreak="0">
    <w:nsid w:val="788C5643"/>
    <w:multiLevelType w:val="hybridMultilevel"/>
    <w:tmpl w:val="0598DB3E"/>
    <w:lvl w:ilvl="0" w:tplc="74DEF80C">
      <w:start w:val="1"/>
      <w:numFmt w:val="bullet"/>
      <w:lvlText w:val="•"/>
      <w:lvlJc w:val="left"/>
      <w:pPr>
        <w:ind w:left="720" w:hanging="360"/>
      </w:pPr>
    </w:lvl>
    <w:lvl w:ilvl="1" w:tplc="7BEEF2CE">
      <w:numFmt w:val="decimal"/>
      <w:lvlText w:val=""/>
      <w:lvlJc w:val="left"/>
    </w:lvl>
    <w:lvl w:ilvl="2" w:tplc="711CD352">
      <w:numFmt w:val="decimal"/>
      <w:lvlText w:val=""/>
      <w:lvlJc w:val="left"/>
    </w:lvl>
    <w:lvl w:ilvl="3" w:tplc="6E063730">
      <w:numFmt w:val="decimal"/>
      <w:lvlText w:val=""/>
      <w:lvlJc w:val="left"/>
    </w:lvl>
    <w:lvl w:ilvl="4" w:tplc="736EE300">
      <w:numFmt w:val="decimal"/>
      <w:lvlText w:val=""/>
      <w:lvlJc w:val="left"/>
    </w:lvl>
    <w:lvl w:ilvl="5" w:tplc="FA067EF4">
      <w:numFmt w:val="decimal"/>
      <w:lvlText w:val=""/>
      <w:lvlJc w:val="left"/>
    </w:lvl>
    <w:lvl w:ilvl="6" w:tplc="F314E260">
      <w:numFmt w:val="decimal"/>
      <w:lvlText w:val=""/>
      <w:lvlJc w:val="left"/>
    </w:lvl>
    <w:lvl w:ilvl="7" w:tplc="001C9CA0">
      <w:numFmt w:val="decimal"/>
      <w:lvlText w:val=""/>
      <w:lvlJc w:val="left"/>
    </w:lvl>
    <w:lvl w:ilvl="8" w:tplc="10AC1C40">
      <w:numFmt w:val="decimal"/>
      <w:lvlText w:val=""/>
      <w:lvlJc w:val="left"/>
    </w:lvl>
  </w:abstractNum>
  <w:num w:numId="1" w16cid:durableId="2039501220">
    <w:abstractNumId w:val="0"/>
    <w:lvlOverride w:ilvl="0">
      <w:startOverride w:val="1"/>
    </w:lvlOverride>
  </w:num>
  <w:num w:numId="2" w16cid:durableId="5977557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71F"/>
    <w:rsid w:val="00016C8F"/>
    <w:rsid w:val="004840EF"/>
    <w:rsid w:val="005C4E86"/>
    <w:rsid w:val="006353FB"/>
    <w:rsid w:val="006B15EB"/>
    <w:rsid w:val="00772E2D"/>
    <w:rsid w:val="00863751"/>
    <w:rsid w:val="009B771F"/>
    <w:rsid w:val="00C825F2"/>
    <w:rsid w:val="00CB0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33D23"/>
  <w15:docId w15:val="{9822CA64-421A-4AE9-BCF7-654397EA1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3A5C"/>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A6E"/>
      <w:sz w:val="32"/>
      <w:szCs w:val="32"/>
    </w:rPr>
  </w:style>
  <w:style w:type="paragraph" w:styleId="Heading2">
    <w:name w:val="heading 2"/>
    <w:uiPriority w:val="9"/>
    <w:unhideWhenUsed/>
    <w:qFormat/>
    <w:pPr>
      <w:spacing w:before="240" w:after="8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2E2D"/>
    <w:pPr>
      <w:tabs>
        <w:tab w:val="center" w:pos="4513"/>
        <w:tab w:val="right" w:pos="9026"/>
      </w:tabs>
    </w:pPr>
  </w:style>
  <w:style w:type="character" w:customStyle="1" w:styleId="HeaderChar">
    <w:name w:val="Header Char"/>
    <w:basedOn w:val="DefaultParagraphFont"/>
    <w:link w:val="Header"/>
    <w:uiPriority w:val="99"/>
    <w:rsid w:val="00772E2D"/>
  </w:style>
  <w:style w:type="paragraph" w:styleId="Footer">
    <w:name w:val="footer"/>
    <w:basedOn w:val="Normal"/>
    <w:link w:val="FooterChar"/>
    <w:uiPriority w:val="99"/>
    <w:unhideWhenUsed/>
    <w:rsid w:val="00772E2D"/>
    <w:pPr>
      <w:tabs>
        <w:tab w:val="center" w:pos="4513"/>
        <w:tab w:val="right" w:pos="9026"/>
      </w:tabs>
    </w:pPr>
  </w:style>
  <w:style w:type="character" w:customStyle="1" w:styleId="FooterChar">
    <w:name w:val="Footer Char"/>
    <w:basedOn w:val="DefaultParagraphFont"/>
    <w:link w:val="Footer"/>
    <w:uiPriority w:val="99"/>
    <w:rsid w:val="00772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Venkata Narasimha reddi</cp:lastModifiedBy>
  <cp:revision>2</cp:revision>
  <dcterms:created xsi:type="dcterms:W3CDTF">2026-06-13T19:11:00Z</dcterms:created>
  <dcterms:modified xsi:type="dcterms:W3CDTF">2026-06-13T19:11:00Z</dcterms:modified>
</cp:coreProperties>
</file>