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77F1E" w14:textId="13358E15" w:rsidR="009F390D" w:rsidRDefault="006C2F9C">
      <w:pPr>
        <w:pStyle w:val="Heading1"/>
        <w:spacing w:after="200"/>
      </w:pPr>
      <w:r>
        <w:t>EXECUTIVE SUMMARY</w:t>
      </w:r>
    </w:p>
    <w:p w14:paraId="228486C1" w14:textId="27EFC000" w:rsidR="009F390D" w:rsidRPr="00F7395A" w:rsidRDefault="00000000">
      <w:pPr>
        <w:spacing w:after="200"/>
        <w:rPr>
          <w:sz w:val="20"/>
          <w:szCs w:val="20"/>
        </w:rPr>
      </w:pPr>
      <w:r w:rsidRPr="00F7395A">
        <w:rPr>
          <w:sz w:val="20"/>
          <w:szCs w:val="20"/>
        </w:rPr>
        <w:t xml:space="preserve">This analysis covers 3,900 customer records, looking at how people buy, whether discounts actually drive revenue, how subscriptions affect retention, and what review sentiment tells us about churn risk. </w:t>
      </w:r>
    </w:p>
    <w:tbl>
      <w:tblPr>
        <w:tblW w:w="5000" w:type="pct"/>
        <w:tblBorders>
          <w:top w:val="single" w:sz="2" w:space="0" w:color="B08050"/>
          <w:bottom w:val="single" w:sz="2" w:space="0" w:color="B08050"/>
          <w:insideV w:val="single" w:sz="1" w:space="0" w:color="E0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7"/>
      </w:tblGrid>
      <w:tr w:rsidR="009F390D" w14:paraId="00A8B20E" w14:textId="77777777" w:rsidTr="00F7395A">
        <w:tblPrEx>
          <w:tblCellMar>
            <w:top w:w="0" w:type="dxa"/>
            <w:bottom w:w="0" w:type="dxa"/>
          </w:tblCellMar>
        </w:tblPrEx>
        <w:trPr>
          <w:trHeight w:val="759"/>
        </w:trPr>
        <w:tc>
          <w:tcPr>
            <w:tcW w:w="1250" w:type="pct"/>
            <w:tcBorders>
              <w:top w:val="single" w:sz="2" w:space="0" w:color="B08050"/>
              <w:bottom w:val="single" w:sz="2" w:space="0" w:color="B08050"/>
            </w:tcBorders>
            <w:shd w:val="clear" w:color="auto" w:fill="B08050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1326052" w14:textId="77777777" w:rsidR="009F390D" w:rsidRPr="00FA5410" w:rsidRDefault="00000000">
            <w:pPr>
              <w:spacing w:after="60"/>
              <w:jc w:val="center"/>
              <w:rPr>
                <w:sz w:val="20"/>
                <w:szCs w:val="20"/>
              </w:rPr>
            </w:pPr>
            <w:r w:rsidRPr="00FA5410">
              <w:rPr>
                <w:rFonts w:ascii="Times New Roman" w:eastAsia="SimHei"/>
                <w:b/>
                <w:bCs/>
                <w:color w:val="FFFFFF"/>
                <w:sz w:val="36"/>
                <w:szCs w:val="36"/>
              </w:rPr>
              <w:t>3,900</w:t>
            </w:r>
          </w:p>
          <w:p w14:paraId="14A60B33" w14:textId="77777777" w:rsidR="009F390D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Customers Analysed</w:t>
            </w:r>
          </w:p>
        </w:tc>
        <w:tc>
          <w:tcPr>
            <w:tcW w:w="1250" w:type="pct"/>
            <w:tcBorders>
              <w:top w:val="single" w:sz="2" w:space="0" w:color="B08050"/>
              <w:bottom w:val="single" w:sz="2" w:space="0" w:color="B08050"/>
            </w:tcBorders>
            <w:shd w:val="clear" w:color="auto" w:fill="B08050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1085C19" w14:textId="77777777" w:rsidR="009F390D" w:rsidRPr="00FA5410" w:rsidRDefault="00000000">
            <w:pPr>
              <w:spacing w:after="60"/>
              <w:jc w:val="center"/>
              <w:rPr>
                <w:sz w:val="20"/>
                <w:szCs w:val="20"/>
              </w:rPr>
            </w:pPr>
            <w:r w:rsidRPr="00FA5410">
              <w:rPr>
                <w:rFonts w:ascii="Times New Roman" w:eastAsia="SimHei"/>
                <w:b/>
                <w:bCs/>
                <w:color w:val="FFFFFF"/>
                <w:sz w:val="36"/>
                <w:szCs w:val="36"/>
              </w:rPr>
              <w:t>12.7%</w:t>
            </w:r>
          </w:p>
          <w:p w14:paraId="78C20A3D" w14:textId="77777777" w:rsidR="009F390D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Churn Risk Rate</w:t>
            </w:r>
          </w:p>
        </w:tc>
        <w:tc>
          <w:tcPr>
            <w:tcW w:w="1250" w:type="pct"/>
            <w:tcBorders>
              <w:top w:val="single" w:sz="2" w:space="0" w:color="B08050"/>
              <w:bottom w:val="single" w:sz="2" w:space="0" w:color="B08050"/>
            </w:tcBorders>
            <w:shd w:val="clear" w:color="auto" w:fill="B08050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70FBA39" w14:textId="77777777" w:rsidR="009F390D" w:rsidRPr="00FA5410" w:rsidRDefault="00000000">
            <w:pPr>
              <w:spacing w:after="60"/>
              <w:jc w:val="center"/>
              <w:rPr>
                <w:sz w:val="36"/>
                <w:szCs w:val="36"/>
              </w:rPr>
            </w:pPr>
            <w:r w:rsidRPr="00FA5410">
              <w:rPr>
                <w:rFonts w:ascii="Times New Roman" w:eastAsia="SimHei"/>
                <w:b/>
                <w:bCs/>
                <w:color w:val="FFFFFF"/>
                <w:sz w:val="36"/>
                <w:szCs w:val="36"/>
              </w:rPr>
              <w:t>43%</w:t>
            </w:r>
          </w:p>
          <w:p w14:paraId="4168047C" w14:textId="77777777" w:rsidR="009F390D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Discount-Driven Purchases</w:t>
            </w:r>
          </w:p>
        </w:tc>
        <w:tc>
          <w:tcPr>
            <w:tcW w:w="1250" w:type="pct"/>
            <w:tcBorders>
              <w:top w:val="single" w:sz="2" w:space="0" w:color="B08050"/>
              <w:bottom w:val="single" w:sz="2" w:space="0" w:color="B08050"/>
            </w:tcBorders>
            <w:shd w:val="clear" w:color="auto" w:fill="B08050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E80D27A" w14:textId="77777777" w:rsidR="009F390D" w:rsidRPr="00FA5410" w:rsidRDefault="00000000">
            <w:pPr>
              <w:spacing w:after="60"/>
              <w:jc w:val="center"/>
              <w:rPr>
                <w:sz w:val="36"/>
                <w:szCs w:val="36"/>
              </w:rPr>
            </w:pPr>
            <w:r w:rsidRPr="00FA5410">
              <w:rPr>
                <w:rFonts w:ascii="Times New Roman" w:eastAsia="SimHei"/>
                <w:b/>
                <w:bCs/>
                <w:color w:val="FFFFFF"/>
                <w:sz w:val="36"/>
                <w:szCs w:val="36"/>
              </w:rPr>
              <w:t>$1,578</w:t>
            </w:r>
          </w:p>
          <w:p w14:paraId="3F176C76" w14:textId="77777777" w:rsidR="009F390D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Avg. Total Spend</w:t>
            </w:r>
          </w:p>
        </w:tc>
      </w:tr>
    </w:tbl>
    <w:p w14:paraId="7D1EA136" w14:textId="77777777" w:rsidR="009F390D" w:rsidRDefault="00000000">
      <w:pPr>
        <w:pStyle w:val="Heading1"/>
        <w:spacing w:before="200" w:after="200"/>
      </w:pPr>
      <w:r>
        <w:t>Key Findings</w:t>
      </w:r>
    </w:p>
    <w:tbl>
      <w:tblPr>
        <w:tblW w:w="5000" w:type="pct"/>
        <w:tblBorders>
          <w:top w:val="single" w:sz="2" w:space="0" w:color="B08050"/>
          <w:bottom w:val="single" w:sz="2" w:space="0" w:color="B08050"/>
          <w:insideH w:val="single" w:sz="1" w:space="0" w:color="E0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2"/>
        <w:gridCol w:w="7206"/>
      </w:tblGrid>
      <w:tr w:rsidR="009F390D" w14:paraId="0EB332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single" w:sz="2" w:space="0" w:color="B08050"/>
              <w:right w:val="none" w:sz="0" w:space="0" w:color="FFFFFF"/>
            </w:tcBorders>
            <w:shd w:val="clear" w:color="auto" w:fill="B08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841D" w14:textId="77777777" w:rsidR="009F390D" w:rsidRDefault="00000000">
            <w:r>
              <w:rPr>
                <w:b/>
                <w:bCs/>
                <w:color w:val="FFFFFF"/>
                <w:sz w:val="22"/>
                <w:szCs w:val="22"/>
              </w:rPr>
              <w:t>Area</w:t>
            </w:r>
          </w:p>
        </w:tc>
        <w:tc>
          <w:tcPr>
            <w:tcW w:w="4100" w:type="pct"/>
            <w:tcBorders>
              <w:top w:val="none" w:sz="0" w:space="0" w:color="FFFFFF"/>
              <w:left w:val="none" w:sz="0" w:space="0" w:color="FFFFFF"/>
              <w:bottom w:val="single" w:sz="2" w:space="0" w:color="B08050"/>
              <w:right w:val="none" w:sz="0" w:space="0" w:color="FFFFFF"/>
            </w:tcBorders>
            <w:shd w:val="clear" w:color="auto" w:fill="B08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0ACE" w14:textId="77777777" w:rsidR="009F390D" w:rsidRDefault="00000000">
            <w:r>
              <w:rPr>
                <w:b/>
                <w:bCs/>
                <w:color w:val="FFFFFF"/>
                <w:sz w:val="22"/>
                <w:szCs w:val="22"/>
              </w:rPr>
              <w:t>Finding</w:t>
            </w:r>
          </w:p>
        </w:tc>
      </w:tr>
      <w:tr w:rsidR="009F390D" w14:paraId="1ED6A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A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567D" w14:textId="77777777" w:rsidR="009F390D" w:rsidRDefault="00000000">
            <w:r>
              <w:rPr>
                <w:b/>
                <w:bCs/>
                <w:color w:val="1A1A1A"/>
                <w:sz w:val="22"/>
                <w:szCs w:val="22"/>
              </w:rPr>
              <w:t>Churn Risk</w:t>
            </w:r>
          </w:p>
        </w:tc>
        <w:tc>
          <w:tcPr>
            <w:tcW w:w="41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A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B0DB" w14:textId="0AFD9337" w:rsidR="009F390D" w:rsidRDefault="00FA5410">
            <w:pPr>
              <w:spacing w:line="280" w:lineRule="auto"/>
            </w:pPr>
            <w:r w:rsidRPr="00FA5410">
              <w:rPr>
                <w:sz w:val="22"/>
                <w:szCs w:val="22"/>
              </w:rPr>
              <w:t>496 customers (12.7%) are high-risk (rating &lt;3.0, no subscription). The mid-age cohort is especially concerning, combining the highest churn (15.4%) with above-average spending.</w:t>
            </w:r>
          </w:p>
        </w:tc>
      </w:tr>
      <w:tr w:rsidR="009F390D" w14:paraId="320A5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CE50" w14:textId="77777777" w:rsidR="009F390D" w:rsidRDefault="00000000">
            <w:r>
              <w:rPr>
                <w:b/>
                <w:bCs/>
                <w:color w:val="1A1A1A"/>
                <w:sz w:val="22"/>
                <w:szCs w:val="22"/>
              </w:rPr>
              <w:t>Discount Reliance</w:t>
            </w:r>
          </w:p>
        </w:tc>
        <w:tc>
          <w:tcPr>
            <w:tcW w:w="41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8EC8" w14:textId="13BAF19F" w:rsidR="009F390D" w:rsidRDefault="00FA5410">
            <w:pPr>
              <w:spacing w:line="280" w:lineRule="auto"/>
            </w:pPr>
            <w:r w:rsidRPr="00FA5410">
              <w:rPr>
                <w:sz w:val="22"/>
                <w:szCs w:val="22"/>
              </w:rPr>
              <w:t>43% of purchases are discount-driven, yet spend is nearly identical to full-price buyers ($1,586 vs. $1,571). Promotions are likely subsidizing full-price intent</w:t>
            </w:r>
          </w:p>
        </w:tc>
      </w:tr>
      <w:tr w:rsidR="009F390D" w14:paraId="7E3835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A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19133" w14:textId="77777777" w:rsidR="009F390D" w:rsidRDefault="00000000">
            <w:r>
              <w:rPr>
                <w:b/>
                <w:bCs/>
                <w:color w:val="1A1A1A"/>
                <w:sz w:val="22"/>
                <w:szCs w:val="22"/>
              </w:rPr>
              <w:t>Subscription Gap</w:t>
            </w:r>
          </w:p>
        </w:tc>
        <w:tc>
          <w:tcPr>
            <w:tcW w:w="41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A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2299" w14:textId="4F839197" w:rsidR="009F390D" w:rsidRDefault="00FA5410">
            <w:pPr>
              <w:spacing w:line="280" w:lineRule="auto"/>
            </w:pPr>
            <w:r w:rsidRPr="00FA5410">
              <w:rPr>
                <w:sz w:val="22"/>
                <w:szCs w:val="22"/>
              </w:rPr>
              <w:t>Only 27% of customers subscribe, leaving 2,847 unbound by loyalty</w:t>
            </w:r>
            <w:r w:rsidRPr="00FA5410">
              <w:rPr>
                <w:sz w:val="22"/>
                <w:szCs w:val="22"/>
              </w:rPr>
              <w:t>—</w:t>
            </w:r>
            <w:r w:rsidRPr="00FA5410">
              <w:rPr>
                <w:sz w:val="22"/>
                <w:szCs w:val="22"/>
              </w:rPr>
              <w:t>the largest structural vulnerability.</w:t>
            </w:r>
          </w:p>
        </w:tc>
      </w:tr>
      <w:tr w:rsidR="009F390D" w14:paraId="395D64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9A8C" w14:textId="77777777" w:rsidR="009F390D" w:rsidRDefault="00000000">
            <w:r>
              <w:rPr>
                <w:b/>
                <w:bCs/>
                <w:color w:val="1A1A1A"/>
                <w:sz w:val="22"/>
                <w:szCs w:val="22"/>
              </w:rPr>
              <w:t>Revenue Concentration</w:t>
            </w:r>
          </w:p>
        </w:tc>
        <w:tc>
          <w:tcPr>
            <w:tcW w:w="41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BCA8" w14:textId="7960F7FD" w:rsidR="009F390D" w:rsidRDefault="00FA5410">
            <w:pPr>
              <w:spacing w:line="280" w:lineRule="auto"/>
            </w:pPr>
            <w:r w:rsidRPr="00FA5410">
              <w:rPr>
                <w:sz w:val="22"/>
                <w:szCs w:val="22"/>
              </w:rPr>
              <w:t>Clothing (45%) and Accessories (32%) drive 77% of volume. Footwear/Outerwear lag in entry and retention</w:t>
            </w:r>
          </w:p>
        </w:tc>
      </w:tr>
      <w:tr w:rsidR="009F390D" w14:paraId="12CED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A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4911" w14:textId="77777777" w:rsidR="009F390D" w:rsidRDefault="00000000">
            <w:r>
              <w:rPr>
                <w:b/>
                <w:bCs/>
                <w:color w:val="1A1A1A"/>
                <w:sz w:val="22"/>
                <w:szCs w:val="22"/>
              </w:rPr>
              <w:t>Age &amp; Spend Dynamics</w:t>
            </w:r>
          </w:p>
        </w:tc>
        <w:tc>
          <w:tcPr>
            <w:tcW w:w="41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A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F9EE" w14:textId="5F7062A7" w:rsidR="009F390D" w:rsidRDefault="00FA5410">
            <w:pPr>
              <w:spacing w:line="280" w:lineRule="auto"/>
            </w:pPr>
            <w:r w:rsidRPr="00FA5410">
              <w:rPr>
                <w:sz w:val="22"/>
                <w:szCs w:val="22"/>
              </w:rPr>
              <w:t>Mid-age customers combine the highest spend with the highest churn and discount reliance (PBI scatter), making them the top retention focus.</w:t>
            </w:r>
          </w:p>
        </w:tc>
      </w:tr>
      <w:tr w:rsidR="009F390D" w14:paraId="74B033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5742" w14:textId="77777777" w:rsidR="009F390D" w:rsidRDefault="00000000">
            <w:r>
              <w:rPr>
                <w:b/>
                <w:bCs/>
                <w:color w:val="1A1A1A"/>
                <w:sz w:val="22"/>
                <w:szCs w:val="22"/>
              </w:rPr>
              <w:t>Brand Pull Variation</w:t>
            </w:r>
          </w:p>
        </w:tc>
        <w:tc>
          <w:tcPr>
            <w:tcW w:w="41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4B08" w14:textId="23506AE4" w:rsidR="009F390D" w:rsidRDefault="00FA5410">
            <w:pPr>
              <w:spacing w:line="280" w:lineRule="auto"/>
            </w:pPr>
            <w:r w:rsidRPr="00FA5410">
              <w:rPr>
                <w:sz w:val="22"/>
                <w:szCs w:val="22"/>
              </w:rPr>
              <w:t>States with high Brand Pull but low subscriptions are the most efficient targets for loyalty conversion.</w:t>
            </w:r>
          </w:p>
        </w:tc>
      </w:tr>
    </w:tbl>
    <w:p w14:paraId="26B07A17" w14:textId="77777777" w:rsidR="009F390D" w:rsidRDefault="009F390D">
      <w:pPr>
        <w:spacing w:before="400"/>
      </w:pPr>
    </w:p>
    <w:p w14:paraId="5B489A72" w14:textId="77777777" w:rsidR="009F390D" w:rsidRDefault="00000000">
      <w:pPr>
        <w:pStyle w:val="Heading1"/>
        <w:spacing w:before="200" w:after="200"/>
      </w:pPr>
      <w:r>
        <w:t>Strategic Recommendations</w:t>
      </w:r>
    </w:p>
    <w:p w14:paraId="0B59FC4E" w14:textId="52ED05CE" w:rsidR="009F390D" w:rsidRDefault="00000000">
      <w:pPr>
        <w:spacing w:after="200"/>
      </w:pPr>
      <w:r>
        <w:t xml:space="preserve">The following recommendations are prioritised by impact and </w:t>
      </w:r>
      <w:r w:rsidR="006C2F9C">
        <w:t>time factor</w:t>
      </w:r>
      <w:r>
        <w:t>. Each one ties directly back to a specific finding above and is grounded in the data surfaced through the Power BI dashboard.</w:t>
      </w:r>
    </w:p>
    <w:tbl>
      <w:tblPr>
        <w:tblW w:w="5000" w:type="pct"/>
        <w:tblBorders>
          <w:top w:val="single" w:sz="2" w:space="0" w:color="B08050"/>
          <w:bottom w:val="single" w:sz="2" w:space="0" w:color="B08050"/>
          <w:insideH w:val="single" w:sz="1" w:space="0" w:color="E0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1"/>
        <w:gridCol w:w="2563"/>
        <w:gridCol w:w="4146"/>
        <w:gridCol w:w="1158"/>
      </w:tblGrid>
      <w:tr w:rsidR="009F390D" w14:paraId="146273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2" w:space="0" w:color="B08050"/>
              <w:right w:val="none" w:sz="0" w:space="0" w:color="FFFFFF"/>
            </w:tcBorders>
            <w:shd w:val="clear" w:color="auto" w:fill="B08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FD9A" w14:textId="77777777" w:rsidR="009F390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Priority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single" w:sz="2" w:space="0" w:color="B08050"/>
              <w:right w:val="none" w:sz="0" w:space="0" w:color="FFFFFF"/>
            </w:tcBorders>
            <w:shd w:val="clear" w:color="auto" w:fill="B08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B870" w14:textId="77777777" w:rsidR="009F390D" w:rsidRDefault="00000000">
            <w:r>
              <w:rPr>
                <w:b/>
                <w:bCs/>
                <w:color w:val="FFFFFF"/>
                <w:sz w:val="22"/>
                <w:szCs w:val="22"/>
              </w:rPr>
              <w:t>Recommendation</w:t>
            </w:r>
          </w:p>
        </w:tc>
        <w:tc>
          <w:tcPr>
            <w:tcW w:w="2400" w:type="pct"/>
            <w:tcBorders>
              <w:top w:val="none" w:sz="0" w:space="0" w:color="FFFFFF"/>
              <w:left w:val="none" w:sz="0" w:space="0" w:color="FFFFFF"/>
              <w:bottom w:val="single" w:sz="2" w:space="0" w:color="B08050"/>
              <w:right w:val="none" w:sz="0" w:space="0" w:color="FFFFFF"/>
            </w:tcBorders>
            <w:shd w:val="clear" w:color="auto" w:fill="B08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8312" w14:textId="77777777" w:rsidR="009F390D" w:rsidRDefault="00000000">
            <w:r>
              <w:rPr>
                <w:b/>
                <w:bCs/>
                <w:color w:val="FFFFFF"/>
                <w:sz w:val="22"/>
                <w:szCs w:val="22"/>
              </w:rPr>
              <w:t>Expected Impact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single" w:sz="2" w:space="0" w:color="B08050"/>
              <w:right w:val="none" w:sz="0" w:space="0" w:color="FFFFFF"/>
            </w:tcBorders>
            <w:shd w:val="clear" w:color="auto" w:fill="B08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6100C" w14:textId="77777777" w:rsidR="009F390D" w:rsidRDefault="00000000">
            <w:r>
              <w:rPr>
                <w:b/>
                <w:bCs/>
                <w:color w:val="FFFFFF"/>
                <w:sz w:val="22"/>
                <w:szCs w:val="22"/>
              </w:rPr>
              <w:t>Timeline</w:t>
            </w:r>
          </w:p>
        </w:tc>
      </w:tr>
      <w:tr w:rsidR="009F390D" w14:paraId="4D66A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A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D393F" w14:textId="77777777" w:rsidR="009F390D" w:rsidRDefault="00000000">
            <w:pPr>
              <w:jc w:val="center"/>
            </w:pPr>
            <w:r>
              <w:rPr>
                <w:b/>
                <w:bCs/>
                <w:color w:val="B08050"/>
                <w:sz w:val="22"/>
                <w:szCs w:val="22"/>
              </w:rPr>
              <w:t>P1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A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E02E" w14:textId="77777777" w:rsidR="009F390D" w:rsidRDefault="00000000">
            <w:pPr>
              <w:spacing w:line="280" w:lineRule="auto"/>
            </w:pPr>
            <w:r>
              <w:rPr>
                <w:b/>
                <w:bCs/>
                <w:color w:val="1A1A1A"/>
                <w:sz w:val="22"/>
                <w:szCs w:val="22"/>
              </w:rPr>
              <w:t>Launch Subscription Drive for Non-Subscribers</w:t>
            </w:r>
          </w:p>
        </w:tc>
        <w:tc>
          <w:tcPr>
            <w:tcW w:w="24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A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A2AAF" w14:textId="3F90E80D" w:rsidR="009F390D" w:rsidRDefault="00F7395A">
            <w:pPr>
              <w:spacing w:line="280" w:lineRule="auto"/>
            </w:pPr>
            <w:r w:rsidRPr="00F7395A">
              <w:rPr>
                <w:sz w:val="22"/>
                <w:szCs w:val="22"/>
              </w:rPr>
              <w:t>Target 2,847 non-subscribers (est. 700</w:t>
            </w:r>
            <w:r w:rsidRPr="00F7395A">
              <w:rPr>
                <w:sz w:val="22"/>
                <w:szCs w:val="22"/>
              </w:rPr>
              <w:t>–</w:t>
            </w:r>
            <w:r w:rsidRPr="00F7395A">
              <w:rPr>
                <w:sz w:val="22"/>
                <w:szCs w:val="22"/>
              </w:rPr>
              <w:t>1,000 retained; reduces churn 3</w:t>
            </w:r>
            <w:r w:rsidRPr="00F7395A">
              <w:rPr>
                <w:sz w:val="22"/>
                <w:szCs w:val="22"/>
              </w:rPr>
              <w:t>–</w:t>
            </w:r>
            <w:r w:rsidRPr="00F7395A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%</w:t>
            </w:r>
            <w:r w:rsidRPr="00F7395A">
              <w:rPr>
                <w:sz w:val="22"/>
                <w:szCs w:val="22"/>
              </w:rPr>
              <w:t>).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A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483F3" w14:textId="77777777" w:rsidR="009F390D" w:rsidRDefault="00000000">
            <w:pPr>
              <w:jc w:val="center"/>
            </w:pPr>
            <w:r>
              <w:rPr>
                <w:color w:val="606060"/>
                <w:sz w:val="22"/>
                <w:szCs w:val="22"/>
              </w:rPr>
              <w:t>Q3 2026</w:t>
            </w:r>
          </w:p>
        </w:tc>
      </w:tr>
      <w:tr w:rsidR="009F390D" w14:paraId="47F40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FBD33" w14:textId="77777777" w:rsidR="009F390D" w:rsidRDefault="00000000">
            <w:pPr>
              <w:jc w:val="center"/>
            </w:pPr>
            <w:r>
              <w:rPr>
                <w:b/>
                <w:bCs/>
                <w:color w:val="B08050"/>
                <w:sz w:val="22"/>
                <w:szCs w:val="22"/>
              </w:rPr>
              <w:t>P1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4497" w14:textId="77777777" w:rsidR="009F390D" w:rsidRDefault="00000000">
            <w:pPr>
              <w:spacing w:line="280" w:lineRule="auto"/>
            </w:pPr>
            <w:r>
              <w:rPr>
                <w:b/>
                <w:bCs/>
                <w:color w:val="1A1A1A"/>
                <w:sz w:val="22"/>
                <w:szCs w:val="22"/>
              </w:rPr>
              <w:t>Phase Out Discounts for High-DRR, High-Value Mid-Age Cohort</w:t>
            </w:r>
          </w:p>
        </w:tc>
        <w:tc>
          <w:tcPr>
            <w:tcW w:w="24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2075" w14:textId="30465AC4" w:rsidR="009F390D" w:rsidRDefault="00F7395A">
            <w:pPr>
              <w:spacing w:line="280" w:lineRule="auto"/>
            </w:pPr>
            <w:r w:rsidRPr="00F7395A">
              <w:rPr>
                <w:sz w:val="22"/>
                <w:szCs w:val="22"/>
              </w:rPr>
              <w:t>+4</w:t>
            </w:r>
            <w:r w:rsidRPr="00F7395A">
              <w:rPr>
                <w:sz w:val="22"/>
                <w:szCs w:val="22"/>
              </w:rPr>
              <w:t>–</w:t>
            </w:r>
            <w:r w:rsidRPr="00F7395A">
              <w:rPr>
                <w:sz w:val="22"/>
                <w:szCs w:val="22"/>
              </w:rPr>
              <w:t>7% margin per conversion. Accept 8</w:t>
            </w:r>
            <w:r w:rsidRPr="00F7395A">
              <w:rPr>
                <w:sz w:val="22"/>
                <w:szCs w:val="22"/>
              </w:rPr>
              <w:t>–</w:t>
            </w:r>
            <w:r w:rsidRPr="00F7395A">
              <w:rPr>
                <w:sz w:val="22"/>
                <w:szCs w:val="22"/>
              </w:rPr>
              <w:t>15% churn in the low-margin, price-sensitive segment.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80CE9" w14:textId="77777777" w:rsidR="009F390D" w:rsidRDefault="00000000">
            <w:pPr>
              <w:jc w:val="center"/>
            </w:pPr>
            <w:r>
              <w:rPr>
                <w:color w:val="606060"/>
                <w:sz w:val="22"/>
                <w:szCs w:val="22"/>
              </w:rPr>
              <w:t>Q3</w:t>
            </w:r>
            <w:r>
              <w:rPr>
                <w:color w:val="606060"/>
                <w:sz w:val="22"/>
                <w:szCs w:val="22"/>
              </w:rPr>
              <w:t>–</w:t>
            </w:r>
            <w:r>
              <w:rPr>
                <w:color w:val="606060"/>
                <w:sz w:val="22"/>
                <w:szCs w:val="22"/>
              </w:rPr>
              <w:t>Q4 2026</w:t>
            </w:r>
          </w:p>
        </w:tc>
      </w:tr>
      <w:tr w:rsidR="009F390D" w14:paraId="25BF02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A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9AE8C" w14:textId="77777777" w:rsidR="009F390D" w:rsidRDefault="00000000">
            <w:pPr>
              <w:jc w:val="center"/>
            </w:pPr>
            <w:r>
              <w:rPr>
                <w:b/>
                <w:bCs/>
                <w:color w:val="B08050"/>
                <w:sz w:val="22"/>
                <w:szCs w:val="22"/>
              </w:rPr>
              <w:t>P2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A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33EA" w14:textId="4BCE27A2" w:rsidR="009F390D" w:rsidRDefault="00000000">
            <w:pPr>
              <w:spacing w:line="280" w:lineRule="auto"/>
            </w:pPr>
            <w:r>
              <w:rPr>
                <w:b/>
                <w:bCs/>
                <w:color w:val="1A1A1A"/>
                <w:sz w:val="22"/>
                <w:szCs w:val="22"/>
              </w:rPr>
              <w:t>Targeted Post-Purchase Loyalty Vouchers</w:t>
            </w:r>
          </w:p>
        </w:tc>
        <w:tc>
          <w:tcPr>
            <w:tcW w:w="24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A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3FA6" w14:textId="62ADCAEA" w:rsidR="009F390D" w:rsidRDefault="00F7395A">
            <w:pPr>
              <w:spacing w:line="280" w:lineRule="auto"/>
            </w:pPr>
            <w:r w:rsidRPr="00F7395A">
              <w:rPr>
                <w:sz w:val="22"/>
                <w:szCs w:val="22"/>
              </w:rPr>
              <w:t>+3</w:t>
            </w:r>
            <w:r w:rsidRPr="00F7395A">
              <w:rPr>
                <w:sz w:val="22"/>
                <w:szCs w:val="22"/>
              </w:rPr>
              <w:t>–</w:t>
            </w:r>
            <w:r w:rsidRPr="00F7395A">
              <w:rPr>
                <w:sz w:val="22"/>
                <w:szCs w:val="22"/>
              </w:rPr>
              <w:t>6% margin in high-entry/low-retention categories by swapping discounts for loyalty vouchers.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A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47A28" w14:textId="77777777" w:rsidR="009F390D" w:rsidRDefault="00000000">
            <w:pPr>
              <w:jc w:val="center"/>
            </w:pPr>
            <w:r>
              <w:rPr>
                <w:color w:val="606060"/>
                <w:sz w:val="22"/>
                <w:szCs w:val="22"/>
              </w:rPr>
              <w:t xml:space="preserve">Q3 2026 </w:t>
            </w:r>
            <w:r>
              <w:rPr>
                <w:color w:val="606060"/>
                <w:sz w:val="22"/>
                <w:szCs w:val="22"/>
              </w:rPr>
              <w:t>–</w:t>
            </w:r>
            <w:r>
              <w:rPr>
                <w:color w:val="606060"/>
                <w:sz w:val="22"/>
                <w:szCs w:val="22"/>
              </w:rPr>
              <w:t xml:space="preserve"> Q1 2027</w:t>
            </w:r>
          </w:p>
        </w:tc>
      </w:tr>
      <w:tr w:rsidR="009F390D" w14:paraId="2982E8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014FD" w14:textId="77777777" w:rsidR="009F390D" w:rsidRDefault="00000000">
            <w:pPr>
              <w:jc w:val="center"/>
            </w:pPr>
            <w:r>
              <w:rPr>
                <w:b/>
                <w:bCs/>
                <w:color w:val="B08050"/>
                <w:sz w:val="22"/>
                <w:szCs w:val="22"/>
              </w:rPr>
              <w:t>P2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1E6A1" w14:textId="77777777" w:rsidR="009F390D" w:rsidRDefault="00000000">
            <w:pPr>
              <w:spacing w:line="280" w:lineRule="auto"/>
            </w:pPr>
            <w:r>
              <w:rPr>
                <w:b/>
                <w:bCs/>
                <w:color w:val="1A1A1A"/>
                <w:sz w:val="22"/>
                <w:szCs w:val="22"/>
              </w:rPr>
              <w:t>Prioritise ICP Acquisition (Low-DRR, High-ACV, High-Retention)</w:t>
            </w:r>
          </w:p>
        </w:tc>
        <w:tc>
          <w:tcPr>
            <w:tcW w:w="24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D3F8" w14:textId="77777777" w:rsidR="00F7395A" w:rsidRPr="00F7395A" w:rsidRDefault="00F7395A" w:rsidP="00F7395A">
            <w:pPr>
              <w:spacing w:line="280" w:lineRule="auto"/>
              <w:rPr>
                <w:sz w:val="22"/>
                <w:szCs w:val="22"/>
              </w:rPr>
            </w:pPr>
            <w:r w:rsidRPr="00F7395A">
              <w:rPr>
                <w:sz w:val="22"/>
                <w:szCs w:val="22"/>
              </w:rPr>
              <w:t>Reallocate media to full-price, high-retention lookalikes in high Brand Pull markets.</w:t>
            </w:r>
          </w:p>
          <w:p w14:paraId="71B99B95" w14:textId="1BB95761" w:rsidR="009F390D" w:rsidRDefault="009F390D">
            <w:pPr>
              <w:spacing w:line="280" w:lineRule="auto"/>
            </w:pP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28EF3" w14:textId="77777777" w:rsidR="009F390D" w:rsidRDefault="00000000">
            <w:pPr>
              <w:jc w:val="center"/>
            </w:pPr>
            <w:r>
              <w:rPr>
                <w:color w:val="606060"/>
                <w:sz w:val="22"/>
                <w:szCs w:val="22"/>
              </w:rPr>
              <w:t>Q4 2026</w:t>
            </w:r>
          </w:p>
        </w:tc>
      </w:tr>
      <w:tr w:rsidR="009F390D" w14:paraId="36FDFB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A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9E94D" w14:textId="77777777" w:rsidR="009F390D" w:rsidRDefault="00000000">
            <w:pPr>
              <w:jc w:val="center"/>
            </w:pPr>
            <w:r>
              <w:rPr>
                <w:b/>
                <w:bCs/>
                <w:color w:val="B08050"/>
                <w:sz w:val="22"/>
                <w:szCs w:val="22"/>
              </w:rPr>
              <w:t>P3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A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E6DE" w14:textId="77777777" w:rsidR="009F390D" w:rsidRDefault="00000000">
            <w:pPr>
              <w:spacing w:line="280" w:lineRule="auto"/>
            </w:pPr>
            <w:r>
              <w:rPr>
                <w:b/>
                <w:bCs/>
                <w:color w:val="1A1A1A"/>
                <w:sz w:val="22"/>
                <w:szCs w:val="22"/>
              </w:rPr>
              <w:t>Invest in Footwear &amp; Outerwear Retention After First Purchase</w:t>
            </w:r>
          </w:p>
        </w:tc>
        <w:tc>
          <w:tcPr>
            <w:tcW w:w="24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A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BFD3" w14:textId="3FAEAE74" w:rsidR="009F390D" w:rsidRDefault="00F7395A">
            <w:pPr>
              <w:spacing w:line="280" w:lineRule="auto"/>
            </w:pPr>
            <w:r w:rsidRPr="00F7395A">
              <w:rPr>
                <w:sz w:val="22"/>
                <w:szCs w:val="22"/>
              </w:rPr>
              <w:t>improving retention in underpenetrated categories by 5</w:t>
            </w:r>
            <w:r w:rsidRPr="00F7395A">
              <w:rPr>
                <w:sz w:val="22"/>
                <w:szCs w:val="22"/>
              </w:rPr>
              <w:t>–</w:t>
            </w:r>
            <w:r w:rsidRPr="00F7395A"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>%</w:t>
            </w:r>
            <w:r w:rsidRPr="00F7395A">
              <w:rPr>
                <w:sz w:val="22"/>
                <w:szCs w:val="22"/>
              </w:rPr>
              <w:t xml:space="preserve"> will reduce revenue concentration risk.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single" w:sz="1" w:space="0" w:color="E0D8CC"/>
              <w:right w:val="none" w:sz="0" w:space="0" w:color="FFFFFF"/>
            </w:tcBorders>
            <w:shd w:val="clear" w:color="auto" w:fill="FA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BA7B7" w14:textId="77777777" w:rsidR="009F390D" w:rsidRDefault="00000000">
            <w:pPr>
              <w:jc w:val="center"/>
            </w:pPr>
            <w:r>
              <w:rPr>
                <w:color w:val="606060"/>
                <w:sz w:val="22"/>
                <w:szCs w:val="22"/>
              </w:rPr>
              <w:t>Q1 2027</w:t>
            </w:r>
          </w:p>
        </w:tc>
      </w:tr>
    </w:tbl>
    <w:p w14:paraId="48B2165B" w14:textId="77777777" w:rsidR="009F390D" w:rsidRDefault="009F390D">
      <w:pPr>
        <w:spacing w:before="400"/>
      </w:pPr>
    </w:p>
    <w:p w14:paraId="731078F2" w14:textId="77777777" w:rsidR="009F390D" w:rsidRDefault="00000000">
      <w:pPr>
        <w:pStyle w:val="Heading1"/>
        <w:spacing w:before="200" w:after="200"/>
      </w:pPr>
      <w:r>
        <w:t>Risks &amp; Success Metrics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2" w:space="0" w:color="E0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4"/>
        <w:gridCol w:w="4394"/>
      </w:tblGrid>
      <w:tr w:rsidR="009F390D" w14:paraId="33552CD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2" w:space="0" w:color="B08050"/>
              <w:left w:val="none" w:sz="0" w:space="0" w:color="FFFFFF"/>
              <w:bottom w:val="single" w:sz="2" w:space="0" w:color="B08050"/>
              <w:right w:val="none" w:sz="0" w:space="0" w:color="FFFFFF"/>
            </w:tcBorders>
            <w:shd w:val="clear" w:color="auto" w:fill="B080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FCDE96" w14:textId="77777777" w:rsidR="009F390D" w:rsidRDefault="00000000">
            <w:r>
              <w:rPr>
                <w:b/>
                <w:bCs/>
                <w:color w:val="FFFFFF"/>
              </w:rPr>
              <w:t>Key Risks</w:t>
            </w:r>
          </w:p>
        </w:tc>
        <w:tc>
          <w:tcPr>
            <w:tcW w:w="2500" w:type="pct"/>
            <w:tcBorders>
              <w:top w:val="single" w:sz="2" w:space="0" w:color="B08050"/>
              <w:left w:val="none" w:sz="0" w:space="0" w:color="FFFFFF"/>
              <w:bottom w:val="single" w:sz="2" w:space="0" w:color="B08050"/>
              <w:right w:val="none" w:sz="0" w:space="0" w:color="FFFFFF"/>
            </w:tcBorders>
            <w:shd w:val="clear" w:color="auto" w:fill="B080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F4184D" w14:textId="77777777" w:rsidR="009F390D" w:rsidRDefault="00000000">
            <w:r>
              <w:rPr>
                <w:b/>
                <w:bCs/>
                <w:color w:val="FFFFFF"/>
              </w:rPr>
              <w:t>Success Metrics (Monthly Tracking)</w:t>
            </w:r>
          </w:p>
        </w:tc>
      </w:tr>
      <w:tr w:rsidR="009F390D" w14:paraId="76F3CEC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single" w:sz="2" w:space="0" w:color="B08050"/>
              <w:right w:val="none" w:sz="0" w:space="0" w:color="FFFFFF"/>
            </w:tcBorders>
            <w:shd w:val="clear" w:color="auto" w:fill="FAF8F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5A54EE0" w14:textId="77777777" w:rsidR="009F390D" w:rsidRDefault="00000000">
            <w:pPr>
              <w:spacing w:after="120" w:line="280" w:lineRule="auto"/>
            </w:pPr>
            <w:r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</w:rPr>
              <w:t>15% churn risk in price-sensitive segments during discount phase-out. This is expected and should be monitored weekly rather than reacted to day-by-day.</w:t>
            </w:r>
          </w:p>
          <w:p w14:paraId="11CFD85F" w14:textId="77777777" w:rsidR="009F390D" w:rsidRDefault="00000000">
            <w:pPr>
              <w:spacing w:after="120" w:line="280" w:lineRule="auto"/>
            </w:pPr>
            <w:r>
              <w:rPr>
                <w:sz w:val="22"/>
                <w:szCs w:val="22"/>
              </w:rPr>
              <w:t>15</w:t>
            </w:r>
            <w:r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</w:rPr>
              <w:t>22% short-term acquisition dip in categories where promotions drive first purchase. This is a transition cost, not a structural decline.</w:t>
            </w:r>
          </w:p>
          <w:p w14:paraId="6DAC64B0" w14:textId="77777777" w:rsidR="009F390D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Rollback trigger: if revenue drops more than 15% over three consecutive weeks, pause the discount sunset and reassess.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single" w:sz="2" w:space="0" w:color="B08050"/>
              <w:right w:val="none" w:sz="0" w:space="0" w:color="FFFFFF"/>
            </w:tcBorders>
            <w:shd w:val="clear" w:color="auto" w:fill="FAF8F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99FAC47" w14:textId="77777777" w:rsidR="009F390D" w:rsidRDefault="00000000">
            <w:pPr>
              <w:spacing w:after="120" w:line="280" w:lineRule="auto"/>
            </w:pPr>
            <w:r>
              <w:rPr>
                <w:sz w:val="22"/>
                <w:szCs w:val="22"/>
              </w:rPr>
              <w:t>Discount Reliance Ratio (DRR): should decline quarter-over-quarter in sunset segments</w:t>
            </w:r>
          </w:p>
          <w:p w14:paraId="4DA0C87B" w14:textId="77777777" w:rsidR="009F390D" w:rsidRDefault="00000000">
            <w:pPr>
              <w:spacing w:after="120" w:line="280" w:lineRule="auto"/>
            </w:pPr>
            <w:r>
              <w:rPr>
                <w:sz w:val="22"/>
                <w:szCs w:val="22"/>
              </w:rPr>
              <w:t>Average Customer Value: should remain stable or grow as DRR falls</w:t>
            </w:r>
          </w:p>
          <w:p w14:paraId="2C37E25D" w14:textId="77777777" w:rsidR="009F390D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Gross Margin: target +4</w:t>
            </w:r>
            <w:r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</w:rPr>
              <w:t>7% improvement in sunset segments within 12 months</w:t>
            </w:r>
          </w:p>
        </w:tc>
      </w:tr>
    </w:tbl>
    <w:p w14:paraId="025126C1" w14:textId="77777777" w:rsidR="009F390D" w:rsidRDefault="009F390D">
      <w:pPr>
        <w:spacing w:before="400"/>
      </w:pPr>
    </w:p>
    <w:p w14:paraId="7E4867E4" w14:textId="2B675EA6" w:rsidR="009F390D" w:rsidRDefault="009F390D">
      <w:pPr>
        <w:spacing w:after="200"/>
      </w:pPr>
    </w:p>
    <w:sectPr w:rsidR="009F390D">
      <w:headerReference w:type="default" r:id="rId8"/>
      <w:footerReference w:type="default" r:id="rId9"/>
      <w:pgSz w:w="11906" w:h="16838"/>
      <w:pgMar w:top="1440" w:right="1417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36960" w14:textId="77777777" w:rsidR="00484612" w:rsidRDefault="00484612">
      <w:pPr>
        <w:spacing w:line="240" w:lineRule="auto"/>
      </w:pPr>
      <w:r>
        <w:separator/>
      </w:r>
    </w:p>
  </w:endnote>
  <w:endnote w:type="continuationSeparator" w:id="0">
    <w:p w14:paraId="494B74E3" w14:textId="77777777" w:rsidR="00484612" w:rsidRDefault="004846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D948B" w14:textId="77777777" w:rsidR="009F390D" w:rsidRDefault="00000000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FA5410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4C0E4" w14:textId="77777777" w:rsidR="00484612" w:rsidRDefault="00484612">
      <w:pPr>
        <w:spacing w:line="240" w:lineRule="auto"/>
      </w:pPr>
      <w:r>
        <w:separator/>
      </w:r>
    </w:p>
  </w:footnote>
  <w:footnote w:type="continuationSeparator" w:id="0">
    <w:p w14:paraId="57AFE82D" w14:textId="77777777" w:rsidR="00484612" w:rsidRDefault="004846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CA00A" w14:textId="5CDC38D9" w:rsidR="009F390D" w:rsidRDefault="009F390D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E37D4"/>
    <w:multiLevelType w:val="multilevel"/>
    <w:tmpl w:val="192C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6C95C18"/>
    <w:multiLevelType w:val="hybridMultilevel"/>
    <w:tmpl w:val="4F528400"/>
    <w:lvl w:ilvl="0" w:tplc="876CBB86">
      <w:start w:val="1"/>
      <w:numFmt w:val="bullet"/>
      <w:lvlText w:val="●"/>
      <w:lvlJc w:val="left"/>
      <w:pPr>
        <w:ind w:left="720" w:hanging="360"/>
      </w:pPr>
    </w:lvl>
    <w:lvl w:ilvl="1" w:tplc="9C282748">
      <w:start w:val="1"/>
      <w:numFmt w:val="bullet"/>
      <w:lvlText w:val="○"/>
      <w:lvlJc w:val="left"/>
      <w:pPr>
        <w:ind w:left="1440" w:hanging="360"/>
      </w:pPr>
    </w:lvl>
    <w:lvl w:ilvl="2" w:tplc="4B22D7DE">
      <w:start w:val="1"/>
      <w:numFmt w:val="bullet"/>
      <w:lvlText w:val="■"/>
      <w:lvlJc w:val="left"/>
      <w:pPr>
        <w:ind w:left="2160" w:hanging="360"/>
      </w:pPr>
    </w:lvl>
    <w:lvl w:ilvl="3" w:tplc="1C3A382C">
      <w:start w:val="1"/>
      <w:numFmt w:val="bullet"/>
      <w:lvlText w:val="●"/>
      <w:lvlJc w:val="left"/>
      <w:pPr>
        <w:ind w:left="2880" w:hanging="360"/>
      </w:pPr>
    </w:lvl>
    <w:lvl w:ilvl="4" w:tplc="673038EA">
      <w:start w:val="1"/>
      <w:numFmt w:val="bullet"/>
      <w:lvlText w:val="○"/>
      <w:lvlJc w:val="left"/>
      <w:pPr>
        <w:ind w:left="3600" w:hanging="360"/>
      </w:pPr>
    </w:lvl>
    <w:lvl w:ilvl="5" w:tplc="D606352E">
      <w:start w:val="1"/>
      <w:numFmt w:val="bullet"/>
      <w:lvlText w:val="■"/>
      <w:lvlJc w:val="left"/>
      <w:pPr>
        <w:ind w:left="4320" w:hanging="360"/>
      </w:pPr>
    </w:lvl>
    <w:lvl w:ilvl="6" w:tplc="7C2E6E1E">
      <w:start w:val="1"/>
      <w:numFmt w:val="bullet"/>
      <w:lvlText w:val="●"/>
      <w:lvlJc w:val="left"/>
      <w:pPr>
        <w:ind w:left="5040" w:hanging="360"/>
      </w:pPr>
    </w:lvl>
    <w:lvl w:ilvl="7" w:tplc="E17AA338">
      <w:start w:val="1"/>
      <w:numFmt w:val="bullet"/>
      <w:lvlText w:val="●"/>
      <w:lvlJc w:val="left"/>
      <w:pPr>
        <w:ind w:left="5760" w:hanging="360"/>
      </w:pPr>
    </w:lvl>
    <w:lvl w:ilvl="8" w:tplc="2AA0B7E0">
      <w:start w:val="1"/>
      <w:numFmt w:val="bullet"/>
      <w:lvlText w:val="●"/>
      <w:lvlJc w:val="left"/>
      <w:pPr>
        <w:ind w:left="6480" w:hanging="360"/>
      </w:pPr>
    </w:lvl>
  </w:abstractNum>
  <w:num w:numId="1" w16cid:durableId="206068995">
    <w:abstractNumId w:val="1"/>
    <w:lvlOverride w:ilvl="0">
      <w:startOverride w:val="1"/>
    </w:lvlOverride>
  </w:num>
  <w:num w:numId="2" w16cid:durableId="1436515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90D"/>
    <w:rsid w:val="00484612"/>
    <w:rsid w:val="006C2F9C"/>
    <w:rsid w:val="009F390D"/>
    <w:rsid w:val="00C922CF"/>
    <w:rsid w:val="00CE37A1"/>
    <w:rsid w:val="00F7395A"/>
    <w:rsid w:val="00FA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7DBF2"/>
  <w15:docId w15:val="{1FF02C63-94E6-47E3-BA2A-4D6F39855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icrosoft YaHei" w:hAnsi="Times New Roman" w:cs="Times New Roman"/>
        <w:color w:val="2A2A2A"/>
        <w:sz w:val="24"/>
        <w:szCs w:val="24"/>
        <w:lang w:val="en-IN" w:eastAsia="en-I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Times New Roman" w:eastAsia="SimHei"/>
      <w:b/>
      <w:bCs/>
      <w:color w:val="1A1A1A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A541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410"/>
  </w:style>
  <w:style w:type="paragraph" w:styleId="Footer">
    <w:name w:val="footer"/>
    <w:basedOn w:val="Normal"/>
    <w:link w:val="FooterChar"/>
    <w:uiPriority w:val="99"/>
    <w:unhideWhenUsed/>
    <w:rsid w:val="00FA541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4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BC0EF-8DCE-462E-AC2A-B040DBEED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Venkata Narasimha reddi</cp:lastModifiedBy>
  <cp:revision>2</cp:revision>
  <dcterms:created xsi:type="dcterms:W3CDTF">2026-06-14T20:37:00Z</dcterms:created>
  <dcterms:modified xsi:type="dcterms:W3CDTF">2026-06-14T21:05:00Z</dcterms:modified>
</cp:coreProperties>
</file>