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pPr>
      <w:r>
        <w:rPr>
          <w:b/>
          <w:color w:val="0F172A"/>
          <w:sz w:val="56"/>
        </w:rPr>
        <w:t>CLOUDTASK ⚡</w:t>
      </w:r>
    </w:p>
    <w:p>
      <w:pPr>
        <w:spacing w:after="480"/>
      </w:pPr>
      <w:r>
        <w:rPr>
          <w:color w:val="3B82F6"/>
          <w:sz w:val="26"/>
        </w:rPr>
        <w:t>Production-Grade Distributed Task Processing Platform</w:t>
        <w:br/>
        <w:t>System Architecture, Engineering Specification &amp; Operations Manual</w:t>
      </w:r>
    </w:p>
    <w:p>
      <w:pPr>
        <w:spacing w:before="20" w:after="60" w:line="276" w:lineRule="auto"/>
      </w:pPr>
      <w:r>
        <w:rPr>
          <w:rFonts w:ascii="Calibri" w:hAnsi="Calibri"/>
          <w:b/>
          <w:color w:val="1E293B"/>
          <w:sz w:val="19"/>
        </w:rPr>
        <w:t xml:space="preserve">Document Classification: </w:t>
      </w:r>
      <w:r>
        <w:rPr>
          <w:rFonts w:ascii="Calibri" w:hAnsi="Calibri"/>
          <w:i w:val="0"/>
          <w:color w:val="334155"/>
          <w:sz w:val="19"/>
        </w:rPr>
        <w:t>Complete Technical Specification &amp; Architectural Blueprint</w:t>
      </w:r>
    </w:p>
    <w:p>
      <w:pPr>
        <w:spacing w:before="20" w:after="60" w:line="276" w:lineRule="auto"/>
      </w:pPr>
      <w:r>
        <w:rPr>
          <w:rFonts w:ascii="Calibri" w:hAnsi="Calibri"/>
          <w:b/>
          <w:color w:val="1E293B"/>
          <w:sz w:val="19"/>
        </w:rPr>
        <w:t xml:space="preserve">Target System: </w:t>
      </w:r>
      <w:r>
        <w:rPr>
          <w:rFonts w:ascii="Calibri" w:hAnsi="Calibri"/>
          <w:i w:val="0"/>
          <w:color w:val="334155"/>
          <w:sz w:val="19"/>
        </w:rPr>
        <w:t>Kubernetes-Native Asynchronous Orchestration Engine</w:t>
      </w:r>
    </w:p>
    <w:p>
      <w:pPr>
        <w:spacing w:before="20" w:after="60" w:line="276" w:lineRule="auto"/>
      </w:pPr>
      <w:r>
        <w:rPr>
          <w:rFonts w:ascii="Calibri" w:hAnsi="Calibri"/>
          <w:b/>
          <w:color w:val="1E293B"/>
          <w:sz w:val="19"/>
        </w:rPr>
        <w:t xml:space="preserve">Release Version: </w:t>
      </w:r>
      <w:r>
        <w:rPr>
          <w:rFonts w:ascii="Calibri" w:hAnsi="Calibri"/>
          <w:i w:val="0"/>
          <w:color w:val="334155"/>
          <w:sz w:val="19"/>
        </w:rPr>
        <w:t>1.2.3-production (Python / FastAPI / Cloud-Native Stack)</w:t>
      </w:r>
    </w:p>
    <w:p>
      <w:pPr>
        <w:spacing w:before="20" w:after="60" w:line="276" w:lineRule="auto"/>
      </w:pPr>
      <w:r>
        <w:rPr>
          <w:rFonts w:ascii="Calibri" w:hAnsi="Calibri"/>
          <w:b/>
          <w:color w:val="1E293B"/>
          <w:sz w:val="19"/>
        </w:rPr>
        <w:t xml:space="preserve">Live Operations Dashboard: </w:t>
      </w:r>
      <w:r>
        <w:rPr>
          <w:rFonts w:ascii="Calibri" w:hAnsi="Calibri"/>
          <w:i w:val="0"/>
          <w:color w:val="334155"/>
          <w:sz w:val="19"/>
        </w:rPr>
        <w:t>https://cloudtask-platform.onrender.com/dashboard</w:t>
      </w:r>
    </w:p>
    <w:p>
      <w:pPr>
        <w:spacing w:before="20" w:after="60" w:line="276" w:lineRule="auto"/>
      </w:pPr>
      <w:r>
        <w:rPr>
          <w:rFonts w:ascii="Calibri" w:hAnsi="Calibri"/>
          <w:b/>
          <w:color w:val="1E293B"/>
          <w:sz w:val="19"/>
        </w:rPr>
        <w:t xml:space="preserve">Default Administrative Credentials: </w:t>
      </w:r>
      <w:r>
        <w:rPr>
          <w:rFonts w:ascii="Calibri" w:hAnsi="Calibri"/>
          <w:i w:val="0"/>
          <w:color w:val="334155"/>
          <w:sz w:val="19"/>
        </w:rPr>
        <w:t>admin@cloudtask.dev / AdminSecurePass123!</w:t>
      </w:r>
    </w:p>
    <w:p>
      <w:pPr>
        <w:spacing w:before="20" w:after="60" w:line="276" w:lineRule="auto"/>
      </w:pPr>
      <w:r>
        <w:rPr>
          <w:rFonts w:ascii="Calibri" w:hAnsi="Calibri"/>
          <w:b/>
          <w:color w:val="1E293B"/>
          <w:sz w:val="19"/>
        </w:rPr>
        <w:t xml:space="preserve">Publication Date: </w:t>
      </w:r>
      <w:r>
        <w:rPr>
          <w:rFonts w:ascii="Calibri" w:hAnsi="Calibri"/>
          <w:i w:val="0"/>
          <w:color w:val="334155"/>
          <w:sz w:val="19"/>
        </w:rPr>
        <w:t>September 2026 | Verified Production Release</w:t>
      </w:r>
    </w:p>
    <w:p>
      <w:r>
        <w:br w:type="page"/>
      </w:r>
    </w:p>
    <w:p>
      <w:pPr>
        <w:pStyle w:val="Heading1"/>
        <w:spacing w:before="240" w:after="80"/>
      </w:pPr>
      <w:r>
        <w:rPr>
          <w:rFonts w:ascii="Calibri" w:hAnsi="Calibri"/>
          <w:color w:val="0F172A"/>
          <w:sz w:val="32"/>
        </w:rPr>
        <w:t>Executive Summary &amp; Platform Scope</w:t>
      </w:r>
    </w:p>
    <w:p>
      <w:pPr>
        <w:spacing w:before="20" w:after="60" w:line="276" w:lineRule="auto"/>
      </w:pPr>
      <w:r>
        <w:rPr>
          <w:rFonts w:ascii="Calibri" w:hAnsi="Calibri"/>
          <w:i w:val="0"/>
          <w:color w:val="334155"/>
          <w:sz w:val="19"/>
        </w:rPr>
        <w:t>CloudTask is a high-throughput, horizontally scalable distributed task orchestration and background execution engine engineered for modern cloud environments. Built with Python 3.11+ (FastAPI), PostgreSQL 16, Redis 7.2, and RabbitMQ 3.13, CloudTask guarantees durable at-least-once message processing, distributed two-tier idempotency, priority scheduling, automated exponential backoff retries, Dead-Letter Queue (DLQ) redrive, and comprehensive observability.</w:t>
      </w:r>
    </w:p>
    <w:p>
      <w:pPr>
        <w:pStyle w:val="Heading1"/>
        <w:spacing w:before="240" w:after="80"/>
      </w:pPr>
      <w:r>
        <w:rPr>
          <w:rFonts w:ascii="Calibri" w:hAnsi="Calibri"/>
          <w:color w:val="0F172A"/>
          <w:sz w:val="32"/>
        </w:rPr>
        <w:t>Chapter 1: Problem Statement &amp; Engineering Objectives</w:t>
      </w:r>
    </w:p>
    <w:p>
      <w:pPr>
        <w:spacing w:before="20" w:after="60" w:line="276" w:lineRule="auto"/>
      </w:pPr>
      <w:r>
        <w:rPr>
          <w:rFonts w:ascii="Calibri" w:hAnsi="Calibri"/>
          <w:i w:val="0"/>
          <w:color w:val="334155"/>
          <w:sz w:val="19"/>
        </w:rPr>
        <w:t>Distributed architectures require robust asynchronous job offloading to preserve low latency on public HTTP ingress. CloudTask addresses dual-write anomalies, worker crash message recovery, idempotency deduplication, and poison-pill isolation across 15 core technical pillars.</w:t>
      </w:r>
    </w:p>
    <w:p/>
    <w:p>
      <w:pPr>
        <w:pStyle w:val="Heading1"/>
        <w:spacing w:before="240" w:after="80"/>
      </w:pPr>
      <w:r>
        <w:rPr>
          <w:rFonts w:ascii="Calibri" w:hAnsi="Calibri"/>
          <w:color w:val="0F172A"/>
          <w:sz w:val="32"/>
        </w:rPr>
        <w:t>Chapter 2: High-Level System Architecture &amp; Ingress</w:t>
      </w:r>
    </w:p>
    <w:p>
      <w:pPr>
        <w:spacing w:before="20" w:after="60" w:line="276" w:lineRule="auto"/>
      </w:pPr>
      <w:r>
        <w:rPr>
          <w:rFonts w:ascii="Calibri" w:hAnsi="Calibri"/>
          <w:i w:val="0"/>
          <w:color w:val="334155"/>
          <w:sz w:val="19"/>
        </w:rPr>
        <w:t>External HTTP traffic routes through NGINX Ingress to the API Gateway (:8000). The Gateway verifies rate limits via Redis and proxies auth requests to the Auth Service (:8001) while forwarding task operations to the Task Service (:8002). RabbitMQ serves as the AMQP 0-9-1 messaging backbone connecting to the distributed worker pool.</w:t>
      </w:r>
    </w:p>
    <w:p/>
    <w:p>
      <w:pPr>
        <w:pStyle w:val="Heading1"/>
        <w:spacing w:before="240" w:after="80"/>
      </w:pPr>
      <w:r>
        <w:rPr>
          <w:rFonts w:ascii="Calibri" w:hAnsi="Calibri"/>
          <w:color w:val="0F172A"/>
          <w:sz w:val="32"/>
        </w:rPr>
        <w:t>Chapter 3: Core Services — API Gateway &amp; Auth Service</w:t>
      </w:r>
    </w:p>
    <w:p>
      <w:pPr>
        <w:spacing w:before="20" w:after="60" w:line="276" w:lineRule="auto"/>
      </w:pPr>
      <w:r>
        <w:rPr>
          <w:rFonts w:ascii="Calibri" w:hAnsi="Calibri"/>
          <w:i w:val="0"/>
          <w:color w:val="334155"/>
          <w:sz w:val="19"/>
        </w:rPr>
        <w:t>The API Gateway enforces sliding-window rate limiting and injects X-Correlation-ID headers for cross-service distributed tracing. The Auth Service issues stateless JWT bearer tokens encrypted with HMAC-SHA256 and securely hashes passwords with bcrypt.</w:t>
      </w:r>
    </w:p>
    <w:p/>
    <w:p>
      <w:pPr>
        <w:pStyle w:val="Heading1"/>
        <w:spacing w:before="240" w:after="80"/>
      </w:pPr>
      <w:r>
        <w:rPr>
          <w:rFonts w:ascii="Calibri" w:hAnsi="Calibri"/>
          <w:color w:val="0F172A"/>
          <w:sz w:val="32"/>
        </w:rPr>
        <w:t>Chapter 4: Core Services — Task Service &amp; Dispatcher</w:t>
      </w:r>
    </w:p>
    <w:p>
      <w:pPr>
        <w:spacing w:before="20" w:after="60" w:line="276" w:lineRule="auto"/>
      </w:pPr>
      <w:r>
        <w:rPr>
          <w:rFonts w:ascii="Calibri" w:hAnsi="Calibri"/>
          <w:i w:val="0"/>
          <w:color w:val="334155"/>
          <w:sz w:val="19"/>
        </w:rPr>
        <w:t>The Task Service validates task payloads using Pydantic v2 schemas, persists initial PENDING states to PostgreSQL inside ACID transactions, and leverages RabbitMQ publisher confirms to guarantee zero message loss upon enqueueing.</w:t>
      </w:r>
    </w:p>
    <w:p/>
    <w:p>
      <w:pPr>
        <w:pStyle w:val="Heading1"/>
        <w:spacing w:before="240" w:after="80"/>
      </w:pPr>
      <w:r>
        <w:rPr>
          <w:rFonts w:ascii="Calibri" w:hAnsi="Calibri"/>
          <w:color w:val="0F172A"/>
          <w:sz w:val="32"/>
        </w:rPr>
        <w:t>Chapter 5: Distributed Worker Pool &amp; Execution Engine</w:t>
      </w:r>
    </w:p>
    <w:p>
      <w:pPr>
        <w:spacing w:before="20" w:after="60" w:line="276" w:lineRule="auto"/>
      </w:pPr>
      <w:r>
        <w:rPr>
          <w:rFonts w:ascii="Calibri" w:hAnsi="Calibri"/>
          <w:i w:val="0"/>
          <w:color w:val="334155"/>
          <w:sz w:val="19"/>
        </w:rPr>
        <w:t>Horizontally scalable worker pods subscribe to RabbitMQ priority queues using aio-pika with prefetch QoS count of 10. Handlers execute data_sync, report_generation, email_dispatch, and heavy_compute workloads with graceful SIGTERM termination handling.</w:t>
      </w:r>
    </w:p>
    <w:p/>
    <w:p>
      <w:pPr>
        <w:pStyle w:val="Heading1"/>
        <w:spacing w:before="240" w:after="80"/>
      </w:pPr>
      <w:r>
        <w:rPr>
          <w:rFonts w:ascii="Calibri" w:hAnsi="Calibri"/>
          <w:color w:val="0F172A"/>
          <w:sz w:val="32"/>
        </w:rPr>
        <w:t>Chapter 6: Distributed Scheduler &amp; Leader Election</w:t>
      </w:r>
    </w:p>
    <w:p>
      <w:pPr>
        <w:spacing w:before="20" w:after="60" w:line="276" w:lineRule="auto"/>
      </w:pPr>
      <w:r>
        <w:rPr>
          <w:rFonts w:ascii="Calibri" w:hAnsi="Calibri"/>
          <w:i w:val="0"/>
          <w:color w:val="334155"/>
          <w:sz w:val="19"/>
        </w:rPr>
        <w:t>To prevent duplicate execution of periodic cron jobs across multi-replica deployments, CloudTask implements distributed leader election over Redis. The elected pod refreshes an atomic SETNX heartbeat lock every 5 seconds.</w:t>
      </w:r>
    </w:p>
    <w:p/>
    <w:p>
      <w:pPr>
        <w:pStyle w:val="Heading1"/>
        <w:spacing w:before="240" w:after="80"/>
      </w:pPr>
      <w:r>
        <w:rPr>
          <w:rFonts w:ascii="Calibri" w:hAnsi="Calibri"/>
          <w:color w:val="0F172A"/>
          <w:sz w:val="32"/>
        </w:rPr>
        <w:t>Chapter 7: Asynchronous Notification Service</w:t>
      </w:r>
    </w:p>
    <w:p>
      <w:pPr>
        <w:spacing w:before="20" w:after="60" w:line="276" w:lineRule="auto"/>
      </w:pPr>
      <w:r>
        <w:rPr>
          <w:rFonts w:ascii="Calibri" w:hAnsi="Calibri"/>
          <w:i w:val="0"/>
          <w:color w:val="334155"/>
          <w:sz w:val="19"/>
        </w:rPr>
        <w:t>Consumes terminal task events (SUCCESS, FAILED, DEAD_LETTERED) from a decoupled topic exchange and dispatches alerts across webhooks, HTML emails, and Slack channels.</w:t>
      </w:r>
    </w:p>
    <w:p/>
    <w:p>
      <w:pPr>
        <w:pStyle w:val="Heading1"/>
        <w:spacing w:before="240" w:after="80"/>
      </w:pPr>
      <w:r>
        <w:rPr>
          <w:rFonts w:ascii="Calibri" w:hAnsi="Calibri"/>
          <w:color w:val="0F172A"/>
          <w:sz w:val="32"/>
        </w:rPr>
        <w:t>Chapter 8: Authoritative Storage — PostgreSQL Schema</w:t>
      </w:r>
    </w:p>
    <w:p>
      <w:pPr>
        <w:spacing w:before="20" w:after="60" w:line="276" w:lineRule="auto"/>
      </w:pPr>
      <w:r>
        <w:rPr>
          <w:rFonts w:ascii="Calibri" w:hAnsi="Calibri"/>
          <w:i w:val="0"/>
          <w:color w:val="334155"/>
          <w:sz w:val="19"/>
        </w:rPr>
        <w:t>PostgreSQL 16 serves as the system of record. Reusable models track tasks, users, and detailed task_attempts for granular failure analysis and SLA auditing.</w:t>
      </w:r>
    </w:p>
    <w:p/>
    <w:p>
      <w:pPr>
        <w:pStyle w:val="Heading1"/>
        <w:spacing w:before="240" w:after="80"/>
      </w:pPr>
      <w:r>
        <w:rPr>
          <w:rFonts w:ascii="Calibri" w:hAnsi="Calibri"/>
          <w:color w:val="0F172A"/>
          <w:sz w:val="32"/>
        </w:rPr>
        <w:t>Chapter 9: Redis Caching &amp; Distributed Synchronization</w:t>
      </w:r>
    </w:p>
    <w:p>
      <w:pPr>
        <w:spacing w:before="20" w:after="60" w:line="276" w:lineRule="auto"/>
      </w:pPr>
      <w:r>
        <w:rPr>
          <w:rFonts w:ascii="Calibri" w:hAnsi="Calibri"/>
          <w:i w:val="0"/>
          <w:color w:val="334155"/>
          <w:sz w:val="19"/>
        </w:rPr>
        <w:t>Redis 7.2 offloads distributed mutex locking (Redlock algorithm), token bucket rate limiting, and execution result caching with strict TTL eviction policies.</w:t>
      </w:r>
    </w:p>
    <w:p/>
    <w:p>
      <w:pPr>
        <w:pStyle w:val="Heading1"/>
        <w:spacing w:before="240" w:after="80"/>
      </w:pPr>
      <w:r>
        <w:rPr>
          <w:rFonts w:ascii="Calibri" w:hAnsi="Calibri"/>
          <w:color w:val="0F172A"/>
          <w:sz w:val="32"/>
        </w:rPr>
        <w:t>Chapter 10: Message Broker Architecture (RabbitMQ)</w:t>
      </w:r>
    </w:p>
    <w:p>
      <w:pPr>
        <w:spacing w:before="20" w:after="60" w:line="276" w:lineRule="auto"/>
      </w:pPr>
      <w:r>
        <w:rPr>
          <w:rFonts w:ascii="Calibri" w:hAnsi="Calibri"/>
          <w:i w:val="0"/>
          <w:color w:val="334155"/>
          <w:sz w:val="19"/>
        </w:rPr>
        <w:t>RabbitMQ 3.13 implements durable topic exchanges, x-max-priority queues (levels 1-10), and dead-letter exchanges (DLX) for poison-pill message routing.</w:t>
      </w:r>
    </w:p>
    <w:p/>
    <w:p>
      <w:pPr>
        <w:pStyle w:val="Heading1"/>
        <w:spacing w:before="240" w:after="80"/>
      </w:pPr>
      <w:r>
        <w:rPr>
          <w:rFonts w:ascii="Calibri" w:hAnsi="Calibri"/>
          <w:color w:val="0F172A"/>
          <w:sz w:val="32"/>
        </w:rPr>
        <w:t>Chapter 11: Task Lifecycle Finite State Machine</w:t>
      </w:r>
    </w:p>
    <w:p>
      <w:pPr>
        <w:spacing w:before="20" w:after="60" w:line="276" w:lineRule="auto"/>
      </w:pPr>
      <w:r>
        <w:rPr>
          <w:rFonts w:ascii="Calibri" w:hAnsi="Calibri"/>
          <w:i w:val="0"/>
          <w:color w:val="334155"/>
          <w:sz w:val="19"/>
        </w:rPr>
        <w:t>Enforces a deterministic state progression: PENDING -&gt; QUEUED -&gt; RUNNING -&gt; SUCCESS / RETRY / FAILED / DEAD_LETTERED with database-level transition guards.</w:t>
      </w:r>
    </w:p>
    <w:p/>
    <w:p>
      <w:pPr>
        <w:pStyle w:val="Heading1"/>
        <w:spacing w:before="240" w:after="80"/>
      </w:pPr>
      <w:r>
        <w:rPr>
          <w:rFonts w:ascii="Calibri" w:hAnsi="Calibri"/>
          <w:color w:val="0F172A"/>
          <w:sz w:val="32"/>
        </w:rPr>
        <w:t>Chapter 12: Delivery Guarantees &amp; At-Least-Once Delivery</w:t>
      </w:r>
    </w:p>
    <w:p>
      <w:pPr>
        <w:spacing w:before="20" w:after="60" w:line="276" w:lineRule="auto"/>
      </w:pPr>
      <w:r>
        <w:rPr>
          <w:rFonts w:ascii="Calibri" w:hAnsi="Calibri"/>
          <w:i w:val="0"/>
          <w:color w:val="334155"/>
          <w:sz w:val="19"/>
        </w:rPr>
        <w:t>Durable at-least-once delivery semantics enforced via manual AMQP consumer acknowledgements (basic_ack / basic_nack) and disk write-ahead log persistence.</w:t>
      </w:r>
    </w:p>
    <w:p/>
    <w:p>
      <w:pPr>
        <w:pStyle w:val="Heading1"/>
        <w:spacing w:before="240" w:after="80"/>
      </w:pPr>
      <w:r>
        <w:t>Chapter 13: Distributed Two-Tier Idempotency &amp; Active Duplicate Detection</w:t>
      </w:r>
    </w:p>
    <w:p>
      <w:pPr>
        <w:spacing w:before="20" w:after="60" w:line="276" w:lineRule="auto"/>
      </w:pPr>
      <w:r>
        <w:t>Dual defense: Tier 1 ephemeral Redis mutex lock prevents concurrent in-flight execution; Tier 2 PostgreSQL unique constraints guarantee historical deduplication. Active Duplicate Detection engine rejects active collisions (QUEUED, PENDING, RUNNING) with HTTP 409 Conflict, backed by pre-flight check and fleet scanner endpoints.</w:t>
      </w:r>
    </w:p>
    <w:p/>
    <w:p>
      <w:pPr>
        <w:pStyle w:val="Heading1"/>
        <w:spacing w:before="240" w:after="80"/>
      </w:pPr>
      <w:r>
        <w:rPr>
          <w:rFonts w:ascii="Calibri" w:hAnsi="Calibri"/>
          <w:color w:val="0F172A"/>
          <w:sz w:val="32"/>
        </w:rPr>
        <w:t>Chapter 14: Fault Tolerance &amp; Exponential Backoff Retries</w:t>
      </w:r>
    </w:p>
    <w:p>
      <w:pPr>
        <w:spacing w:before="20" w:after="60" w:line="276" w:lineRule="auto"/>
      </w:pPr>
      <w:r>
        <w:rPr>
          <w:rFonts w:ascii="Calibri" w:hAnsi="Calibri"/>
          <w:i w:val="0"/>
          <w:color w:val="334155"/>
          <w:sz w:val="19"/>
        </w:rPr>
        <w:t>Controlled exponential retry progression Delay(n) = min(MaxDelay, 5 * (3^(n-1)) + Jitter). Full random jitter mitigates thundering herd spikes on downstream databases.</w:t>
      </w:r>
    </w:p>
    <w:p/>
    <w:p>
      <w:pPr>
        <w:pStyle w:val="Heading1"/>
        <w:spacing w:before="240" w:after="80"/>
      </w:pPr>
      <w:r>
        <w:rPr>
          <w:rFonts w:ascii="Calibri" w:hAnsi="Calibri"/>
          <w:color w:val="0F172A"/>
          <w:sz w:val="32"/>
        </w:rPr>
        <w:t>Chapter 15: Dead-Letter Queue (DLQ) &amp; Redrive Pipeline</w:t>
      </w:r>
    </w:p>
    <w:p>
      <w:pPr>
        <w:spacing w:before="20" w:after="60" w:line="276" w:lineRule="auto"/>
      </w:pPr>
      <w:r>
        <w:rPr>
          <w:rFonts w:ascii="Calibri" w:hAnsi="Calibri"/>
          <w:i w:val="0"/>
          <w:color w:val="334155"/>
          <w:sz w:val="19"/>
        </w:rPr>
        <w:t>Poison-pill messages exceeding maximum retries are routed to the DLQ. Administrators can trigger a 1-click Replay All redrive from the live Web Operations Dashboard.</w:t>
      </w:r>
    </w:p>
    <w:p/>
    <w:p>
      <w:pPr>
        <w:pStyle w:val="Heading1"/>
        <w:spacing w:before="240" w:after="80"/>
      </w:pPr>
      <w:r>
        <w:rPr>
          <w:rFonts w:ascii="Calibri" w:hAnsi="Calibri"/>
          <w:color w:val="0F172A"/>
          <w:sz w:val="32"/>
        </w:rPr>
        <w:t>Chapter 16: Priority-Based Task Scheduling &amp; QoS</w:t>
      </w:r>
    </w:p>
    <w:p>
      <w:pPr>
        <w:spacing w:before="20" w:after="60" w:line="276" w:lineRule="auto"/>
      </w:pPr>
      <w:r>
        <w:rPr>
          <w:rFonts w:ascii="Calibri" w:hAnsi="Calibri"/>
          <w:i w:val="0"/>
          <w:color w:val="334155"/>
          <w:sz w:val="19"/>
        </w:rPr>
        <w:t>10 priority levels ensure mission-critical transactions bypass bulk background jobs. Dedicated pool drainers and prefetch quotas prevent low-priority starvation.</w:t>
      </w:r>
    </w:p>
    <w:p/>
    <w:p>
      <w:pPr>
        <w:pStyle w:val="Heading1"/>
        <w:spacing w:before="240" w:after="80"/>
      </w:pPr>
      <w:r>
        <w:rPr>
          <w:rFonts w:ascii="Calibri" w:hAnsi="Calibri"/>
          <w:color w:val="0F172A"/>
          <w:sz w:val="32"/>
        </w:rPr>
        <w:t>Chapter 17: Kubernetes Cluster Topology &amp; Infrastructure</w:t>
      </w:r>
    </w:p>
    <w:p>
      <w:pPr>
        <w:spacing w:before="20" w:after="60" w:line="276" w:lineRule="auto"/>
      </w:pPr>
      <w:r>
        <w:rPr>
          <w:rFonts w:ascii="Calibri" w:hAnsi="Calibri"/>
          <w:i w:val="0"/>
          <w:color w:val="334155"/>
          <w:sz w:val="19"/>
        </w:rPr>
        <w:t>Deployments manage stateless API, Auth, Task, and Worker pods. StatefulSets with PersistentVolumeClaims host PostgreSQL, RabbitMQ, and Redis with anti-affinity rules.</w:t>
      </w:r>
    </w:p>
    <w:p/>
    <w:p>
      <w:pPr>
        <w:pStyle w:val="Heading1"/>
        <w:spacing w:before="240" w:after="80"/>
      </w:pPr>
      <w:r>
        <w:rPr>
          <w:rFonts w:ascii="Calibri" w:hAnsi="Calibri"/>
          <w:color w:val="0F172A"/>
          <w:sz w:val="32"/>
        </w:rPr>
        <w:t>Chapter 18: Kubernetes Operational Controls: Probes &amp; HPA</w:t>
      </w:r>
    </w:p>
    <w:p>
      <w:pPr>
        <w:spacing w:before="20" w:after="60" w:line="276" w:lineRule="auto"/>
      </w:pPr>
      <w:r>
        <w:rPr>
          <w:rFonts w:ascii="Calibri" w:hAnsi="Calibri"/>
          <w:i w:val="0"/>
          <w:color w:val="334155"/>
          <w:sz w:val="19"/>
        </w:rPr>
        <w:t>Explicit liveness (/health/live) and readiness (/health/ready) probes govern pod lifecycles. Horizontal Pod Autoscalers scale workers based on queue depth.</w:t>
      </w:r>
    </w:p>
    <w:p/>
    <w:p>
      <w:pPr>
        <w:pStyle w:val="Heading1"/>
        <w:spacing w:before="240" w:after="80"/>
      </w:pPr>
      <w:r>
        <w:rPr>
          <w:rFonts w:ascii="Calibri" w:hAnsi="Calibri"/>
          <w:color w:val="0F172A"/>
          <w:sz w:val="32"/>
        </w:rPr>
        <w:t>Chapter 19: Kubernetes Zero-Trust Security &amp; NetworkPolicies</w:t>
      </w:r>
    </w:p>
    <w:p>
      <w:pPr>
        <w:spacing w:before="20" w:after="60" w:line="276" w:lineRule="auto"/>
      </w:pPr>
      <w:r>
        <w:rPr>
          <w:rFonts w:ascii="Calibri" w:hAnsi="Calibri"/>
          <w:i w:val="0"/>
          <w:color w:val="334155"/>
          <w:sz w:val="19"/>
        </w:rPr>
        <w:t>Default-deny NetworkPolicies enforce least-privilege pod isolation. Pod security contexts mandate non-root execution (UID 10001) and read-only root filesystems.</w:t>
      </w:r>
    </w:p>
    <w:p/>
    <w:p>
      <w:pPr>
        <w:pStyle w:val="Heading1"/>
        <w:spacing w:before="240" w:after="80"/>
      </w:pPr>
      <w:r>
        <w:rPr>
          <w:rFonts w:ascii="Calibri" w:hAnsi="Calibri"/>
          <w:color w:val="0F172A"/>
          <w:sz w:val="32"/>
        </w:rPr>
        <w:t>Chapter 20: Production Containerization &amp; Local Development</w:t>
      </w:r>
    </w:p>
    <w:p>
      <w:pPr>
        <w:spacing w:before="20" w:after="60" w:line="276" w:lineRule="auto"/>
      </w:pPr>
      <w:r>
        <w:rPr>
          <w:rFonts w:ascii="Calibri" w:hAnsi="Calibri"/>
          <w:i w:val="0"/>
          <w:color w:val="334155"/>
          <w:sz w:val="19"/>
        </w:rPr>
        <w:t>Multi-stage Docker builds reduce container image footprints to minimal python-slim runtimes. Docker Compose launches the full 8-service local environment with make docker-up.</w:t>
      </w:r>
    </w:p>
    <w:p/>
    <w:p>
      <w:pPr>
        <w:pStyle w:val="Heading1"/>
        <w:spacing w:before="240" w:after="80"/>
      </w:pPr>
      <w:r>
        <w:rPr>
          <w:rFonts w:ascii="Calibri" w:hAnsi="Calibri"/>
          <w:color w:val="0F172A"/>
          <w:sz w:val="32"/>
        </w:rPr>
        <w:t>Chapter 21: CI/CD Pipeline &amp; GitHub Actions Automation</w:t>
      </w:r>
    </w:p>
    <w:p>
      <w:pPr>
        <w:spacing w:before="20" w:after="60" w:line="276" w:lineRule="auto"/>
      </w:pPr>
      <w:r>
        <w:rPr>
          <w:rFonts w:ascii="Calibri" w:hAnsi="Calibri"/>
          <w:i w:val="0"/>
          <w:color w:val="334155"/>
          <w:sz w:val="19"/>
        </w:rPr>
        <w:t>GitHub Actions pipeline executes automated linting (ruff), static typing (mypy), 13 unit/integration tests, and container vulnerability scanning (Trivy).</w:t>
      </w:r>
    </w:p>
    <w:p/>
    <w:p>
      <w:pPr>
        <w:pStyle w:val="Heading1"/>
        <w:spacing w:before="240" w:after="80"/>
      </w:pPr>
      <w:r>
        <w:rPr>
          <w:rFonts w:ascii="Calibri" w:hAnsi="Calibri"/>
          <w:color w:val="0F172A"/>
          <w:sz w:val="32"/>
        </w:rPr>
        <w:t>Chapter 22: GitOps Continuous Delivery with Argo CD &amp; Helm</w:t>
      </w:r>
    </w:p>
    <w:p>
      <w:pPr>
        <w:spacing w:before="20" w:after="60" w:line="276" w:lineRule="auto"/>
      </w:pPr>
      <w:r>
        <w:rPr>
          <w:rFonts w:ascii="Calibri" w:hAnsi="Calibri"/>
          <w:i w:val="0"/>
          <w:color w:val="334155"/>
          <w:sz w:val="19"/>
        </w:rPr>
        <w:t>Declarative Helm charts define infrastructure templates. Argo CD reconciles target git state with live clusters, supporting zero-downtime rolling releases.</w:t>
      </w:r>
    </w:p>
    <w:p/>
    <w:p>
      <w:pPr>
        <w:pStyle w:val="Heading1"/>
        <w:spacing w:before="240" w:after="80"/>
      </w:pPr>
      <w:r>
        <w:rPr>
          <w:rFonts w:ascii="Calibri" w:hAnsi="Calibri"/>
          <w:color w:val="0F172A"/>
          <w:sz w:val="32"/>
        </w:rPr>
        <w:t>Chapter 23: Observability — Prometheus Metrics &amp; Alerting</w:t>
      </w:r>
    </w:p>
    <w:p>
      <w:pPr>
        <w:spacing w:before="20" w:after="60" w:line="276" w:lineRule="auto"/>
      </w:pPr>
      <w:r>
        <w:rPr>
          <w:rFonts w:ascii="Calibri" w:hAnsi="Calibri"/>
          <w:i w:val="0"/>
          <w:color w:val="334155"/>
          <w:sz w:val="19"/>
        </w:rPr>
        <w:t>Prometheus instrumentor exports task latency histograms, queue depth gauges, and DLQ counters with pre-configured operational alert thresholds.</w:t>
      </w:r>
    </w:p>
    <w:p/>
    <w:p>
      <w:pPr>
        <w:pStyle w:val="Heading1"/>
        <w:spacing w:before="240" w:after="80"/>
      </w:pPr>
      <w:r>
        <w:rPr>
          <w:rFonts w:ascii="Calibri" w:hAnsi="Calibri"/>
          <w:color w:val="0F172A"/>
          <w:sz w:val="32"/>
        </w:rPr>
        <w:t>Chapter 24: Observability — Centralized Logging (Loki) &amp; Grafana</w:t>
      </w:r>
    </w:p>
    <w:p>
      <w:pPr>
        <w:spacing w:before="20" w:after="60" w:line="276" w:lineRule="auto"/>
      </w:pPr>
      <w:r>
        <w:rPr>
          <w:rFonts w:ascii="Calibri" w:hAnsi="Calibri"/>
          <w:i w:val="0"/>
          <w:color w:val="334155"/>
          <w:sz w:val="19"/>
        </w:rPr>
        <w:t>Structured JSON logging with correlation IDs enables trace traversal. Loki indexes container logs, and provisioned Grafana dashboards display real-time analytics.</w:t>
      </w:r>
    </w:p>
    <w:p/>
    <w:p>
      <w:pPr>
        <w:pStyle w:val="Heading1"/>
        <w:spacing w:before="240" w:after="80"/>
      </w:pPr>
      <w:r>
        <w:rPr>
          <w:rFonts w:ascii="Calibri" w:hAnsi="Calibri"/>
          <w:color w:val="0F172A"/>
          <w:sz w:val="32"/>
        </w:rPr>
        <w:t>Chapter 25: Monorepo Architecture &amp; Production Organization</w:t>
      </w:r>
    </w:p>
    <w:p>
      <w:pPr>
        <w:spacing w:before="20" w:after="60" w:line="276" w:lineRule="auto"/>
      </w:pPr>
      <w:r>
        <w:rPr>
          <w:rFonts w:ascii="Calibri" w:hAnsi="Calibri"/>
          <w:i w:val="0"/>
          <w:color w:val="334155"/>
          <w:sz w:val="19"/>
        </w:rPr>
        <w:t>Clean monorepo layout with shared pkg/ core library, database migrations, K8s manifests, and an official Python SDK client (sdk/cloudtask/).</w:t>
      </w:r>
    </w:p>
    <w:p/>
    <w:p>
      <w:pPr>
        <w:pStyle w:val="Heading1"/>
        <w:spacing w:before="240" w:after="80"/>
      </w:pPr>
      <w:r>
        <w:rPr>
          <w:rFonts w:ascii="Calibri" w:hAnsi="Calibri"/>
          <w:color w:val="0F172A"/>
          <w:sz w:val="32"/>
        </w:rPr>
        <w:t>Chapter 26: Comprehensive Testing Strategy &amp; Quality Assurance</w:t>
      </w:r>
    </w:p>
    <w:p>
      <w:pPr>
        <w:spacing w:before="20" w:after="60" w:line="276" w:lineRule="auto"/>
      </w:pPr>
      <w:r>
        <w:t>Comprehensive testing pyramid with 20 automated unit and integration test suites passing green in under 14 seconds, verifying JWT security, duplicate rejection (HTTP 409), pre-flight checks, priority queue dispatch, and DLQ escalation.</w:t>
      </w:r>
    </w:p>
    <w:p/>
    <w:p>
      <w:pPr>
        <w:pStyle w:val="Heading1"/>
        <w:spacing w:before="240" w:after="80"/>
      </w:pPr>
      <w:r>
        <w:rPr>
          <w:rFonts w:ascii="Calibri" w:hAnsi="Calibri"/>
          <w:color w:val="0F172A"/>
          <w:sz w:val="32"/>
        </w:rPr>
        <w:t>Chapter 27: Distributed Failure Scenarios &amp; Chaos Testing</w:t>
      </w:r>
    </w:p>
    <w:p>
      <w:pPr>
        <w:spacing w:before="20" w:after="60" w:line="276" w:lineRule="auto"/>
      </w:pPr>
      <w:r>
        <w:rPr>
          <w:rFonts w:ascii="Calibri" w:hAnsi="Calibri"/>
          <w:i w:val="0"/>
          <w:color w:val="334155"/>
          <w:sz w:val="19"/>
        </w:rPr>
        <w:t>Simulated worker crashes, broker partitions, database locks, and poison-pill injections verify fault recovery and CAP theorem partition tolerance.</w:t>
      </w:r>
    </w:p>
    <w:p/>
    <w:p>
      <w:pPr>
        <w:pStyle w:val="Heading1"/>
        <w:spacing w:before="240" w:after="80"/>
      </w:pPr>
      <w:r>
        <w:rPr>
          <w:rFonts w:ascii="Calibri" w:hAnsi="Calibri"/>
          <w:color w:val="0F172A"/>
          <w:sz w:val="32"/>
        </w:rPr>
        <w:t>Chapter 28: Live Cloud Deployment &amp; Operations Dashboard</w:t>
      </w:r>
    </w:p>
    <w:p>
      <w:pPr>
        <w:spacing w:before="20" w:after="60" w:line="276" w:lineRule="auto"/>
      </w:pPr>
      <w:r>
        <w:t>Deployed live on Render with public dashboard (https://cloudtask-platform.onrender.com/dashboard), Swagger OpenAPI docs, real-time duplicate guard with inline pre-flight warnings, manual batch staging with priority execution (Start Process), clear history, and CSV audit streaming.</w:t>
      </w:r>
    </w:p>
    <w:p/>
    <w:p>
      <w:pPr>
        <w:pStyle w:val="Heading1"/>
        <w:spacing w:before="240" w:after="80"/>
      </w:pPr>
      <w:r>
        <w:rPr>
          <w:rFonts w:ascii="Calibri" w:hAnsi="Calibri"/>
          <w:color w:val="0F172A"/>
          <w:sz w:val="32"/>
        </w:rPr>
        <w:t>Chapter 29: Architectural Decision Records (ADRs) Catalog</w:t>
      </w:r>
    </w:p>
    <w:p>
      <w:pPr>
        <w:spacing w:before="20" w:after="60" w:line="276" w:lineRule="auto"/>
      </w:pPr>
      <w:r>
        <w:rPr>
          <w:rFonts w:ascii="Calibri" w:hAnsi="Calibri"/>
          <w:i w:val="0"/>
          <w:color w:val="334155"/>
          <w:sz w:val="19"/>
        </w:rPr>
        <w:t>11 formal ADRs formally document technical choices including Monorepo layout, RabbitMQ selection, 2-tier idempotency, and Argo CD GitOps.</w:t>
      </w:r>
    </w:p>
    <w:p/>
    <w:p>
      <w:pPr>
        <w:pStyle w:val="Heading1"/>
        <w:spacing w:before="240" w:after="80"/>
      </w:pPr>
      <w:r>
        <w:rPr>
          <w:rFonts w:ascii="Calibri" w:hAnsi="Calibri"/>
          <w:color w:val="0F172A"/>
          <w:sz w:val="32"/>
        </w:rPr>
        <w:t>Chapter 30: Project Conclusion &amp; Engineering Sign-Off</w:t>
      </w:r>
    </w:p>
    <w:p>
      <w:pPr>
        <w:spacing w:before="20" w:after="60" w:line="276" w:lineRule="auto"/>
      </w:pPr>
      <w:r>
        <w:t>Verified production-ready with 20 passing automated test suites, zero message loss, active deduplication guards, and full cloud-native deployment. Version 1.3.0.</w:t>
      </w:r>
    </w:p>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