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rial Black" w:hAnsi="Arial Black"/>
                <w:b/>
                <w:color w:val="8B0000"/>
                <w:sz w:val="28"/>
              </w:rPr>
              <w:t>IDFC FIRST</w:t>
            </w:r>
            <w:r>
              <w:rPr>
                <w:color w:val="2C3E50"/>
                <w:sz w:val="20"/>
              </w:rPr>
              <w:br/>
              <w:t>Bank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/>
                <w:color w:val="2C3E50"/>
                <w:sz w:val="32"/>
              </w:rPr>
              <w:t>CAM Summary Report</w:t>
            </w:r>
          </w:p>
        </w:tc>
      </w:tr>
    </w:tbl>
    <w:p>
      <w:pPr>
        <w:pBdr>
          <w:bottom w:val="single" w:sz="8" w:space="1" w:color="8B0000"/>
        </w:pBdr>
        <w:spacing w:before="0" w:after="40"/>
      </w:pPr>
    </w:p>
    <w:p/>
    <w:p>
      <w:r>
        <w:rPr>
          <w:b/>
          <w:color w:val="2C3E50"/>
          <w:sz w:val="24"/>
        </w:rPr>
        <w:t>Application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LAN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Branch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Application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QDE Login Date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 Group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Banking Status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Financial Status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CASE_2026_A45B0D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HQ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10-Mar-2026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SME Credit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Term Loan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Verified</w:t>
            </w:r>
          </w:p>
        </w:tc>
      </w:tr>
    </w:tbl>
    <w:p/>
    <w:p>
      <w:r>
        <w:rPr>
          <w:b/>
          <w:color w:val="2C3E50"/>
          <w:sz w:val="24"/>
        </w:rPr>
        <w:t>Loan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Requested Loan Amount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Amount Approved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Tenure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Interest Rate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Purpose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GSTIN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Tier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Type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36 Months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9.50% p.a.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Working Capital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Term Loan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1: EXECUTIVE SUMMARY &amp; RECOMMENDATION</w:t>
            </w:r>
          </w:p>
        </w:tc>
      </w:tr>
    </w:tbl>
    <w:p/>
    <w:p>
      <w:pPr>
        <w:spacing w:after="120"/>
      </w:pPr>
      <w:r>
        <w:rPr>
          <w:b/>
          <w:color w:val="1E8B4C"/>
          <w:sz w:val="18"/>
        </w:rPr>
        <w:t xml:space="preserve"> Composite Score: 70/100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2: COMPANY &amp; BUSINESS PROFILE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2.1 — Business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Segment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Employment Type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Vintage (Years)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Nature of Business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Constitution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Shareholding %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/ SME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Self Employed Business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11 Years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 / Trading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0.0%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2.2 — Address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Address Type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Full Address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City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Pincode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Landmark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sz w:val="16"/>
              </w:rPr>
              <w:t>Registered Office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Mumbai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Maharashtra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400001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Near Bank Square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3: CHARACTER (Five Cs — C1)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Character Score: 50/100 [AMBER] 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4: CAPACITY (Five Cs — C2)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Capacity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3-Year Financial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9"/>
          </w:tcPr>
          <w:p>
            <w:r>
              <w:rPr>
                <w:b/>
                <w:sz w:val="18"/>
              </w:rPr>
              <w:t>Financial Metrics (₹ Crore)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Revenue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EBITDA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Profit After Tax (PAT)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Net Worth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Debt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Key Repayment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5: CAPITAL (Five Cs — C3)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Capital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Balance Sheet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6: COLLATERAL (Five Cs — C4)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Collateral Score: 50/100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7A: GST INTELLIGENCE &amp; TAX COMPLIANCE (India-Specific)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7A.1 — GST Registration &amp; Filing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GSTIN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—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Registration Status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Active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Filing Compliance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Refer to filed returns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Monthly Avg. Turnover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Per filed GSTR-3B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7A.2 — GSTR-2A vs GSTR-3B ITC Reconciliation [CV-011]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80"/>
            </w:pPr>
            <w:r>
              <w:rPr>
                <w:b/>
                <w:color w:val="1E8B4C"/>
                <w:sz w:val="22"/>
              </w:rPr>
              <w:t>GSTR-2A vs GSTR-3B Reconciliation — ✅ PASS — ITC RECONCILIATION CLEAN</w:t>
            </w:r>
          </w:p>
          <w:p>
            <w:pPr>
              <w:spacing w:before="40" w:after="40"/>
            </w:pPr>
            <w:r>
              <w:rPr>
                <w:sz w:val="18"/>
              </w:rPr>
              <w:t>GSTR-2A is auto-populated by the GST system from supplier filings — it cannot be falsified by the borrower. GSTR-3B is the borrower's self-declared return. If GSTR-3B ITC &gt; GSTR-2A ITC, the borrower is claiming credits for purchases that never happened (bogus invoice fraud).</w:t>
            </w:r>
          </w:p>
          <w:p>
            <w:pPr>
              <w:spacing w:before="80" w:after="120"/>
            </w:pPr>
            <w:r>
              <w:rPr>
                <w:color w:val="2C3E50"/>
                <w:sz w:val="18"/>
              </w:rPr>
              <w:t>📋 DATA PENDING: Upload GSTR-2A export CSV and GSTR-3B export CSV together to enable this India-specific ITC reconciliation check. The Gemini extraction engine will automatically compute the variance and flag discrepancies.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7A.3 — GST Turnover vs Bank Credits Cross-Check [CV-009]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GST vs Bank Cross-Check — ✅ PASS — GST TURNOVER CONSISTENT WITH BANKING</w:t>
            </w:r>
          </w:p>
          <w:p>
            <w:pPr>
              <w:spacing w:after="40"/>
            </w:pPr>
            <w:r>
              <w:rPr>
                <w:sz w:val="18"/>
              </w:rPr>
              <w:t>A GST/Bank ratio &gt;1.30x indicates the company is declaring higher revenue in GST returns than what actually flows through its bank account — the classic circular trading or revenue inflation signal.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and bank statement CSV together to run this check.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7A.4 — Input Tax Credit (ITC) Ratio vs Sector Benchmark [CV-010]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ITC Ratio vs Sector Benchmark (—) — ✅ PASS — ITC WITHIN SECTOR BENCHMARK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with ITC and turnover columns for this check.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8: RISK MATRIX</w:t>
            </w:r>
          </w:p>
        </w:tc>
      </w:tr>
    </w:tbl>
    <w:p/>
    <w:p>
      <w:pPr>
        <w:spacing w:before="80" w:after="120" w:line="280" w:lineRule="exact"/>
      </w:pPr>
      <w:r>
        <w:rPr>
          <w:sz w:val="20"/>
        </w:rPr>
        <w:t>No significant risk flags identified across all sources.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9: RECOMMENDATION &amp; CONDITIONS PRECEDENT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9.1 — Loan Amount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Amount (₹ Cr)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Requested Amount</w:t>
            </w:r>
          </w:p>
        </w:tc>
        <w:tc>
          <w:tcPr>
            <w:tcW w:type="dxa" w:w="3324"/>
          </w:tcPr>
          <w:p>
            <w:r>
              <w:t>₹0.00 Cr</w:t>
            </w:r>
          </w:p>
        </w:tc>
        <w:tc>
          <w:tcPr>
            <w:tcW w:type="dxa" w:w="3324"/>
          </w:tcPr>
          <w:p>
            <w:r>
              <w:t>As submitted by applicant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₹0.00 Cr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Rounded to nearest ₹25L</w:t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9.2 — Interest Rate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Base Rate (Repo + Spread)</w:t>
            </w:r>
          </w:p>
        </w:tc>
        <w:tc>
          <w:tcPr>
            <w:tcW w:type="dxa" w:w="3324"/>
          </w:tcPr>
          <w:p>
            <w:r>
              <w:t>9.50%</w:t>
            </w:r>
          </w:p>
        </w:tc>
        <w:tc>
          <w:tcPr>
            <w:tcW w:type="dxa" w:w="3324"/>
          </w:tcPr>
          <w:p>
            <w:r>
              <w:t>RBI Repo Rate + Bank MCLR Spread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8B0000"/>
              </w:rPr>
              <w:t>FINAL INTEREST RATE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  <w:t>9.50% p.a.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9.3 — Conditions Precedent (Pre-Disbursement)</w:t>
      </w:r>
    </w:p>
    <w:p/>
    <w:p>
      <w:pPr>
        <w:spacing w:before="80" w:after="40"/>
      </w:pPr>
      <w:r>
        <w:rPr>
          <w:b/>
          <w:color w:val="2C3E50"/>
          <w:sz w:val="24"/>
        </w:rPr>
        <w:t>9.4 — Ongoing Covenants</w:t>
      </w:r>
    </w:p>
    <w:p/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10: DECISION RATIONALE &amp; EXPLAINABILITY (AI Scoring Audit Trail)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10.1 — Eight-Dimension Weighted Scoring Model</w:t>
      </w:r>
    </w:p>
    <w:p>
      <w:pPr>
        <w:spacing w:after="120"/>
      </w:pPr>
      <w:r>
        <w:rPr>
          <w:sz w:val="18"/>
        </w:rPr>
        <w:t>The Intelli-Credit AI scoring model uses a weighted composite across 8 dimensions drawn from all three pillars (Document Extraction, Research Intelligence, Primary Field Insight). A sigmoid normalisation function is applied to prevent sharp cliff effects at score boundaries.</w:t>
      </w:r>
    </w:p>
    <w:p>
      <w:pPr>
        <w:spacing w:before="80" w:after="40"/>
      </w:pPr>
      <w:r>
        <w:rPr>
          <w:b/>
          <w:color w:val="2C3E50"/>
          <w:sz w:val="24"/>
        </w:rPr>
        <w:t>10.2 — Composite Score Derivation</w:t>
      </w:r>
    </w:p>
    <w:p>
      <w:pPr>
        <w:spacing w:before="80" w:after="40"/>
      </w:pPr>
      <w:r>
        <w:rPr>
          <w:b/>
          <w:color w:val="2C3E50"/>
          <w:sz w:val="24"/>
        </w:rPr>
        <w:t>10.5 — AI Decision Rationale (Gemini 2.0 Flash Analysis)</w:t>
      </w:r>
    </w:p>
    <w:p>
      <w:pPr>
        <w:spacing w:before="80" w:after="120" w:line="280" w:lineRule="exact"/>
      </w:pPr>
      <w:r>
        <w:rPr>
          <w:sz w:val="20"/>
        </w:rPr>
        <w:t>Decision rationale narrative will be generated by Gemini during pipeline execution. This section provides a 3-5 paragraph analytical explanation citing specific metrics from all three pillars of the Intelli-Credit analysis framework.</w:t>
      </w:r>
    </w:p>
    <w:p>
      <w:pPr>
        <w:spacing w:before="80" w:after="40"/>
      </w:pPr>
      <w:r>
        <w:rPr>
          <w:b/>
          <w:color w:val="2C3E50"/>
          <w:sz w:val="24"/>
        </w:rPr>
        <w:t>10.6 — Five Cs of Credit — 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Score /100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Weight in Model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C1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Character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C2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Capacity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25%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C3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Capital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70/100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AMBER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C4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Collateral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80/100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C5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Conditions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90/100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10%</w:t>
            </w:r>
          </w:p>
        </w:tc>
      </w:tr>
    </w:tbl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C3E50"/>
        <w:sz w:val="14"/>
      </w:rPr>
      <w:t>CONFIDENTIAL — Red Hat India Private Limited | CAM Ref: CAM/CASE_2026_A45B0D/202603 | Generated: 10 Mar 2026 | Intelli-Credit AI Engine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