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986"/>
        <w:gridCol w:w="4986"/>
      </w:tblGrid>
      <w:tr>
        <w:tc>
          <w:tcPr>
            <w:tcW w:type="dxa" w:w="4986"/>
          </w:tcPr>
          <w:p>
            <w:r>
              <w:rPr>
                <w:rFonts w:ascii="Arial Black" w:hAnsi="Arial Black"/>
                <w:b/>
                <w:color w:val="8B0000"/>
                <w:sz w:val="28"/>
              </w:rPr>
              <w:t>IDFC FIRST</w:t>
            </w:r>
            <w:r>
              <w:rPr>
                <w:color w:val="2C3E50"/>
                <w:sz w:val="20"/>
              </w:rPr>
              <w:br/>
              <w:t>Bank</w:t>
            </w:r>
          </w:p>
        </w:tc>
        <w:tc>
          <w:tcPr>
            <w:tcW w:type="dxa" w:w="4986"/>
          </w:tcPr>
          <w:p>
            <w:pPr>
              <w:jc w:val="right"/>
            </w:pPr>
            <w:r>
              <w:rPr>
                <w:b/>
                <w:color w:val="2C3E50"/>
                <w:sz w:val="32"/>
              </w:rPr>
              <w:t>CAM Summary Report</w:t>
            </w:r>
          </w:p>
        </w:tc>
      </w:tr>
    </w:tbl>
    <w:p>
      <w:pPr>
        <w:pBdr>
          <w:bottom w:val="single" w:sz="8" w:space="1" w:color="8B0000"/>
        </w:pBdr>
        <w:spacing w:before="0" w:after="40"/>
      </w:pPr>
    </w:p>
    <w:p/>
    <w:p>
      <w:r>
        <w:rPr>
          <w:b/>
          <w:color w:val="2C3E50"/>
          <w:sz w:val="24"/>
        </w:rPr>
        <w:t>Application Details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4F6F9"/>
          </w:tcPr>
          <w:p>
            <w:r>
              <w:rPr>
                <w:b/>
                <w:sz w:val="16"/>
              </w:rPr>
              <w:t>LAN</w:t>
            </w:r>
          </w:p>
        </w:tc>
        <w:tc>
          <w:tcPr>
            <w:tcW w:type="dxa" w:w="1246"/>
            <w:shd w:fill="F4F6F9"/>
          </w:tcPr>
          <w:p>
            <w:r>
              <w:rPr>
                <w:b/>
                <w:sz w:val="16"/>
              </w:rPr>
              <w:t>Branch</w:t>
            </w:r>
          </w:p>
        </w:tc>
        <w:tc>
          <w:tcPr>
            <w:tcW w:type="dxa" w:w="1246"/>
            <w:shd w:fill="F4F6F9"/>
          </w:tcPr>
          <w:p>
            <w:r>
              <w:rPr>
                <w:b/>
                <w:sz w:val="16"/>
              </w:rPr>
              <w:t>Application Name</w:t>
            </w:r>
          </w:p>
        </w:tc>
        <w:tc>
          <w:tcPr>
            <w:tcW w:type="dxa" w:w="1246"/>
            <w:shd w:fill="F4F6F9"/>
          </w:tcPr>
          <w:p>
            <w:r>
              <w:rPr>
                <w:b/>
                <w:sz w:val="16"/>
              </w:rPr>
              <w:t>QDE Login Date</w:t>
            </w:r>
          </w:p>
        </w:tc>
        <w:tc>
          <w:tcPr>
            <w:tcW w:type="dxa" w:w="1246"/>
            <w:shd w:fill="F4F6F9"/>
          </w:tcPr>
          <w:p>
            <w:r>
              <w:rPr>
                <w:b/>
                <w:sz w:val="16"/>
              </w:rPr>
              <w:t>Scheme Group</w:t>
            </w:r>
          </w:p>
        </w:tc>
        <w:tc>
          <w:tcPr>
            <w:tcW w:type="dxa" w:w="1246"/>
            <w:shd w:fill="F4F6F9"/>
          </w:tcPr>
          <w:p>
            <w:r>
              <w:rPr>
                <w:b/>
                <w:sz w:val="16"/>
              </w:rPr>
              <w:t>Scheme</w:t>
            </w:r>
          </w:p>
        </w:tc>
        <w:tc>
          <w:tcPr>
            <w:tcW w:type="dxa" w:w="1246"/>
            <w:shd w:fill="F4F6F9"/>
          </w:tcPr>
          <w:p>
            <w:r>
              <w:rPr>
                <w:b/>
                <w:sz w:val="16"/>
              </w:rPr>
              <w:t>Banking Status</w:t>
            </w:r>
          </w:p>
        </w:tc>
        <w:tc>
          <w:tcPr>
            <w:tcW w:type="dxa" w:w="1246"/>
            <w:shd w:fill="F4F6F9"/>
          </w:tcPr>
          <w:p>
            <w:r>
              <w:rPr>
                <w:b/>
                <w:sz w:val="16"/>
              </w:rPr>
              <w:t>Financial Status</w:t>
            </w:r>
          </w:p>
        </w:tc>
      </w:tr>
      <w:tr>
        <w:tc>
          <w:tcPr>
            <w:tcW w:type="dxa" w:w="1246"/>
            <w:vAlign w:val="center"/>
          </w:tcPr>
          <w:p>
            <w:r>
              <w:rPr>
                <w:sz w:val="16"/>
              </w:rPr>
              <w:t>TEST_DIAG_001</w:t>
            </w:r>
          </w:p>
        </w:tc>
        <w:tc>
          <w:tcPr>
            <w:tcW w:type="dxa" w:w="1246"/>
            <w:vAlign w:val="center"/>
          </w:tcPr>
          <w:p>
            <w:r>
              <w:rPr>
                <w:sz w:val="16"/>
              </w:rPr>
              <w:t>Corporate HQ</w:t>
            </w:r>
          </w:p>
        </w:tc>
        <w:tc>
          <w:tcPr>
            <w:tcW w:type="dxa" w:w="1246"/>
            <w:vAlign w:val="center"/>
          </w:tcPr>
          <w:p>
            <w:r>
              <w:rPr>
                <w:sz w:val="16"/>
              </w:rPr>
              <w:t>Test Co Pvt Ltd</w:t>
            </w:r>
          </w:p>
        </w:tc>
        <w:tc>
          <w:tcPr>
            <w:tcW w:type="dxa" w:w="1246"/>
            <w:vAlign w:val="center"/>
          </w:tcPr>
          <w:p>
            <w:r>
              <w:rPr>
                <w:sz w:val="16"/>
              </w:rPr>
              <w:t>08-Mar-2026</w:t>
            </w:r>
          </w:p>
        </w:tc>
        <w:tc>
          <w:tcPr>
            <w:tcW w:type="dxa" w:w="1246"/>
            <w:vAlign w:val="center"/>
          </w:tcPr>
          <w:p>
            <w:r>
              <w:rPr>
                <w:sz w:val="16"/>
              </w:rPr>
              <w:t>SME Credit</w:t>
            </w:r>
          </w:p>
        </w:tc>
        <w:tc>
          <w:tcPr>
            <w:tcW w:type="dxa" w:w="1246"/>
            <w:vAlign w:val="center"/>
          </w:tcPr>
          <w:p>
            <w:r>
              <w:rPr>
                <w:sz w:val="16"/>
              </w:rPr>
              <w:t>Corporate Term Loan</w:t>
            </w:r>
          </w:p>
        </w:tc>
        <w:tc>
          <w:tcPr>
            <w:tcW w:type="dxa" w:w="1246"/>
            <w:vAlign w:val="center"/>
          </w:tcPr>
          <w:p>
            <w:r>
              <w:rPr>
                <w:sz w:val="16"/>
              </w:rPr>
              <w:t>Active</w:t>
            </w:r>
          </w:p>
        </w:tc>
        <w:tc>
          <w:tcPr>
            <w:tcW w:type="dxa" w:w="1246"/>
            <w:vAlign w:val="center"/>
          </w:tcPr>
          <w:p>
            <w:r>
              <w:rPr>
                <w:sz w:val="16"/>
              </w:rPr>
              <w:t>Verified</w:t>
            </w:r>
          </w:p>
        </w:tc>
      </w:tr>
    </w:tbl>
    <w:p/>
    <w:p>
      <w:r>
        <w:rPr>
          <w:b/>
          <w:color w:val="2C3E50"/>
          <w:sz w:val="24"/>
        </w:rPr>
        <w:t>Loan Details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4F6F9"/>
          </w:tcPr>
          <w:p>
            <w:r>
              <w:rPr>
                <w:b/>
                <w:sz w:val="16"/>
              </w:rPr>
              <w:t>Requested Loan Amount</w:t>
            </w:r>
          </w:p>
        </w:tc>
        <w:tc>
          <w:tcPr>
            <w:tcW w:type="dxa" w:w="1246"/>
            <w:shd w:fill="F4F6F9"/>
          </w:tcPr>
          <w:p>
            <w:r>
              <w:rPr>
                <w:b/>
                <w:sz w:val="16"/>
              </w:rPr>
              <w:t>Loan Amount Approved</w:t>
            </w:r>
          </w:p>
        </w:tc>
        <w:tc>
          <w:tcPr>
            <w:tcW w:type="dxa" w:w="1246"/>
            <w:shd w:fill="F4F6F9"/>
          </w:tcPr>
          <w:p>
            <w:r>
              <w:rPr>
                <w:b/>
                <w:sz w:val="16"/>
              </w:rPr>
              <w:t>Tenure</w:t>
            </w:r>
          </w:p>
        </w:tc>
        <w:tc>
          <w:tcPr>
            <w:tcW w:type="dxa" w:w="1246"/>
            <w:shd w:fill="F4F6F9"/>
          </w:tcPr>
          <w:p>
            <w:r>
              <w:rPr>
                <w:b/>
                <w:sz w:val="16"/>
              </w:rPr>
              <w:t>Interest Rate</w:t>
            </w:r>
          </w:p>
        </w:tc>
        <w:tc>
          <w:tcPr>
            <w:tcW w:type="dxa" w:w="1246"/>
            <w:shd w:fill="F4F6F9"/>
          </w:tcPr>
          <w:p>
            <w:r>
              <w:rPr>
                <w:b/>
                <w:sz w:val="16"/>
              </w:rPr>
              <w:t>Loan Purpose</w:t>
            </w:r>
          </w:p>
        </w:tc>
        <w:tc>
          <w:tcPr>
            <w:tcW w:type="dxa" w:w="1246"/>
            <w:shd w:fill="F4F6F9"/>
          </w:tcPr>
          <w:p>
            <w:r>
              <w:rPr>
                <w:b/>
                <w:sz w:val="16"/>
              </w:rPr>
              <w:t>GSTIN</w:t>
            </w:r>
          </w:p>
        </w:tc>
        <w:tc>
          <w:tcPr>
            <w:tcW w:type="dxa" w:w="1246"/>
            <w:shd w:fill="F4F6F9"/>
          </w:tcPr>
          <w:p>
            <w:r>
              <w:rPr>
                <w:b/>
                <w:sz w:val="16"/>
              </w:rPr>
              <w:t>Customer Tier</w:t>
            </w:r>
          </w:p>
        </w:tc>
        <w:tc>
          <w:tcPr>
            <w:tcW w:type="dxa" w:w="1246"/>
            <w:shd w:fill="F4F6F9"/>
          </w:tcPr>
          <w:p>
            <w:r>
              <w:rPr>
                <w:b/>
                <w:sz w:val="16"/>
              </w:rPr>
              <w:t>Loan Type</w:t>
            </w:r>
          </w:p>
        </w:tc>
      </w:tr>
      <w:tr>
        <w:tc>
          <w:tcPr>
            <w:tcW w:type="dxa" w:w="1246"/>
            <w:vAlign w:val="center"/>
          </w:tcPr>
          <w:p>
            <w:r>
              <w:rPr>
                <w:sz w:val="16"/>
              </w:rPr>
              <w:t>Rs. 250.00 Lakh</w:t>
            </w:r>
          </w:p>
        </w:tc>
        <w:tc>
          <w:tcPr>
            <w:tcW w:type="dxa" w:w="1246"/>
            <w:vAlign w:val="center"/>
          </w:tcPr>
          <w:p>
            <w:r>
              <w:rPr>
                <w:sz w:val="16"/>
              </w:rPr>
              <w:t>Rs. 0.00 Lakh</w:t>
            </w:r>
          </w:p>
        </w:tc>
        <w:tc>
          <w:tcPr>
            <w:tcW w:type="dxa" w:w="1246"/>
            <w:vAlign w:val="center"/>
          </w:tcPr>
          <w:p>
            <w:r>
              <w:rPr>
                <w:sz w:val="16"/>
              </w:rPr>
              <w:t>36 Months</w:t>
            </w:r>
          </w:p>
        </w:tc>
        <w:tc>
          <w:tcPr>
            <w:tcW w:type="dxa" w:w="1246"/>
            <w:vAlign w:val="center"/>
          </w:tcPr>
          <w:p>
            <w:r>
              <w:rPr>
                <w:sz w:val="16"/>
              </w:rPr>
              <w:t>9.50% p.a.</w:t>
            </w:r>
          </w:p>
        </w:tc>
        <w:tc>
          <w:tcPr>
            <w:tcW w:type="dxa" w:w="1246"/>
            <w:vAlign w:val="center"/>
          </w:tcPr>
          <w:p>
            <w:r>
              <w:rPr>
                <w:sz w:val="16"/>
              </w:rPr>
              <w:t>Cash Credit (CC)</w:t>
            </w:r>
          </w:p>
        </w:tc>
        <w:tc>
          <w:tcPr>
            <w:tcW w:type="dxa" w:w="1246"/>
            <w:vAlign w:val="center"/>
          </w:tcPr>
          <w:p>
            <w:r>
              <w:rPr>
                <w:sz w:val="16"/>
              </w:rPr>
              <w:t>27AABCT1234A1Z5</w:t>
            </w:r>
          </w:p>
        </w:tc>
        <w:tc>
          <w:tcPr>
            <w:tcW w:type="dxa" w:w="1246"/>
            <w:vAlign w:val="center"/>
          </w:tcPr>
          <w:p>
            <w:r>
              <w:rPr>
                <w:sz w:val="16"/>
              </w:rPr>
              <w:t>Prime</w:t>
            </w:r>
          </w:p>
        </w:tc>
        <w:tc>
          <w:tcPr>
            <w:tcW w:type="dxa" w:w="1246"/>
            <w:vAlign w:val="center"/>
          </w:tcPr>
          <w:p>
            <w:r>
              <w:rPr>
                <w:sz w:val="16"/>
              </w:rPr>
              <w:t>Term Loan</w:t>
            </w:r>
          </w:p>
        </w:tc>
      </w:tr>
    </w:tbl>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1: EXECUTIVE SUMMARY &amp; RECOMMENDATION</w:t>
            </w:r>
          </w:p>
        </w:tc>
      </w:tr>
    </w:tbl>
    <w:p/>
    <w:p>
      <w:pPr>
        <w:spacing w:after="120"/>
      </w:pPr>
      <w:r>
        <w:rPr>
          <w:b/>
          <w:color w:val="1E8B4C"/>
          <w:sz w:val="18"/>
        </w:rPr>
        <w:t xml:space="preserve"> Composite Score: 84/100 [GREEN] </w:t>
      </w:r>
    </w:p>
    <w:p>
      <w:pPr>
        <w:spacing w:before="80" w:after="120" w:line="280" w:lineRule="exact"/>
      </w:pPr>
      <w:r>
        <w:rPr>
          <w:sz w:val="20"/>
        </w:rPr>
        <w:t>PART A: APPLICANT PROFILE</w:t>
        <w:br/>
        <w:br/>
        <w:t>Test Co Pvt Ltd (CIN: U28910MH2015PTC999999) is a manufacturing company seeking a Cash Credit (CC) facility of ₹2.50 Crore for a tenor of 36 months. The company operates in the manufacturing sector. The requested facility will be used to meet the working capital requirements of the business. The company has demonstrated consistent growth in revenue and profitability over the past three fiscal years.</w:t>
        <w:br/>
        <w:br/>
        <w:t>PART B: CREDIT REQUEST SUMMARY</w:t>
        <w:br/>
        <w:br/>
        <w:t>Facility Type         : Cash Credit (CC)</w:t>
        <w:br/>
        <w:t>Amount Requested      : ₹2.50 Crore</w:t>
        <w:br/>
        <w:t>Recommended Amount    : ₹0.00 Crore</w:t>
        <w:br/>
        <w:t>Interest Rate         : 9.50% p.a.</w:t>
        <w:br/>
        <w:t>Tenor                 : 36 months</w:t>
        <w:br/>
        <w:t>Risk Band             : GREEN</w:t>
        <w:br/>
        <w:t>Composite Score       : 84/100</w:t>
        <w:br/>
        <w:br/>
        <w:t>PART C: FINANCIAL SNAPSHOT</w:t>
        <w:br/>
        <w:br/>
        <w:t xml:space="preserve">  Parameter              FY22         FY23         FY24          Trend</w:t>
        <w:br/>
        <w:t xml:space="preserve">  ----------------------------------------------------------------------</w:t>
        <w:br/>
        <w:t xml:space="preserve">  Net Sales (₹L)       418.20       472.60       525.00        ↑</w:t>
        <w:br/>
        <w:t xml:space="preserve">  GP Margin (%)          0.00         0.00         0.00          ↑</w:t>
        <w:br/>
        <w:t xml:space="preserve">  Net Profit (₹L)      8.70         11.30        13.85         ↑</w:t>
        <w:br/>
        <w:t xml:space="preserve">  NP Margin (%)          2.08         2.39         2.64          ↑</w:t>
        <w:br/>
        <w:t xml:space="preserve">  Net Worth (₹L)       0.00         0.00         0.00          ↑</w:t>
        <w:br/>
        <w:t xml:space="preserve">  Total Outside Liab     0.00         0.00         0.00          ↑</w:t>
        <w:br/>
        <w:t xml:space="preserve">  Current Ratio          0.00         0.00         0.00          ↑</w:t>
        <w:br/>
        <w:t xml:space="preserve">  D/E Ratio              1.42         1.42         1.42          ↑</w:t>
        <w:br/>
        <w:t xml:space="preserve">  DSCR                   2.25</w:t>
        <w:br/>
        <w:br/>
        <w:t>PART D: RISK FLAGS SUMMARY</w:t>
        <w:br/>
        <w:br/>
        <w:t xml:space="preserve">  POSITIVE | ALL     | No adverse flags detected across all sources.</w:t>
        <w:br/>
        <w:br/>
        <w:t>PART E: RECOMMENDATION</w:t>
        <w:br/>
        <w:br/>
        <w:t>The Credit Committee recommends to DECLINE the proposed Cash Credit (CC) facility. While the company exhibits positive trends in revenue, with Net Sales increasing to ₹525.00L in FY24, and profitability, with Net Profit Margin improving to 2.64% in FY24, the absence of data for Net Worth, Total Outside Liabilities, and Current Ratio limits a full assessment of the company's financial health. The Debt-to-Equity ratio remaining constant at 1.42 warrants monitoring. The requested facility of ₹2.50 Crore is not recommended at this time due to the incomplete financial information and the resulting MPBF constraint. Before any future consideration, the company must provide complete audited financial statements. Key conditions for any future disbursement would include the execution of all security documents (loan agreement, hypothecation deed, and mortgage deed) and the submission of the latest audited financial statements (within 6 months of year-end).</w:t>
      </w:r>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2: COMPANY &amp; BUSINESS PROFILE</w:t>
            </w:r>
          </w:p>
        </w:tc>
      </w:tr>
    </w:tbl>
    <w:p/>
    <w:p>
      <w:pPr>
        <w:spacing w:before="80" w:after="40"/>
      </w:pPr>
      <w:r>
        <w:rPr>
          <w:b/>
          <w:color w:val="2C3E50"/>
          <w:sz w:val="24"/>
        </w:rPr>
        <w:t>2.1 — Business Details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4F6F9"/>
          </w:tcPr>
          <w:p>
            <w:r>
              <w:rPr>
                <w:b/>
                <w:sz w:val="16"/>
              </w:rPr>
              <w:t>Customer Segment</w:t>
            </w:r>
          </w:p>
        </w:tc>
        <w:tc>
          <w:tcPr>
            <w:tcW w:type="dxa" w:w="1246"/>
            <w:shd w:fill="F4F6F9"/>
          </w:tcPr>
          <w:p>
            <w:r>
              <w:rPr>
                <w:b/>
                <w:sz w:val="16"/>
              </w:rPr>
              <w:t>Employment Type</w:t>
            </w:r>
          </w:p>
        </w:tc>
        <w:tc>
          <w:tcPr>
            <w:tcW w:type="dxa" w:w="1246"/>
            <w:shd w:fill="F4F6F9"/>
          </w:tcPr>
          <w:p>
            <w:r>
              <w:rPr>
                <w:b/>
                <w:sz w:val="16"/>
              </w:rPr>
              <w:t>Business Vintage (Years)</w:t>
            </w:r>
          </w:p>
        </w:tc>
        <w:tc>
          <w:tcPr>
            <w:tcW w:type="dxa" w:w="1246"/>
            <w:shd w:fill="F4F6F9"/>
          </w:tcPr>
          <w:p>
            <w:r>
              <w:rPr>
                <w:b/>
                <w:sz w:val="16"/>
              </w:rPr>
              <w:t>Nature of Business</w:t>
            </w:r>
          </w:p>
        </w:tc>
        <w:tc>
          <w:tcPr>
            <w:tcW w:type="dxa" w:w="1246"/>
            <w:shd w:fill="F4F6F9"/>
          </w:tcPr>
          <w:p>
            <w:r>
              <w:rPr>
                <w:b/>
                <w:sz w:val="16"/>
              </w:rPr>
              <w:t>Industry</w:t>
            </w:r>
          </w:p>
        </w:tc>
        <w:tc>
          <w:tcPr>
            <w:tcW w:type="dxa" w:w="1246"/>
            <w:shd w:fill="F4F6F9"/>
          </w:tcPr>
          <w:p>
            <w:r>
              <w:rPr>
                <w:b/>
                <w:sz w:val="16"/>
              </w:rPr>
              <w:t>Business Name</w:t>
            </w:r>
          </w:p>
        </w:tc>
        <w:tc>
          <w:tcPr>
            <w:tcW w:type="dxa" w:w="1246"/>
            <w:shd w:fill="F4F6F9"/>
          </w:tcPr>
          <w:p>
            <w:r>
              <w:rPr>
                <w:b/>
                <w:sz w:val="16"/>
              </w:rPr>
              <w:t>Constitution</w:t>
            </w:r>
          </w:p>
        </w:tc>
        <w:tc>
          <w:tcPr>
            <w:tcW w:type="dxa" w:w="1246"/>
            <w:shd w:fill="F4F6F9"/>
          </w:tcPr>
          <w:p>
            <w:r>
              <w:rPr>
                <w:b/>
                <w:sz w:val="16"/>
              </w:rPr>
              <w:t>Shareholding %</w:t>
            </w:r>
          </w:p>
        </w:tc>
      </w:tr>
      <w:tr>
        <w:tc>
          <w:tcPr>
            <w:tcW w:type="dxa" w:w="1246"/>
            <w:vAlign w:val="center"/>
          </w:tcPr>
          <w:p>
            <w:r>
              <w:rPr>
                <w:sz w:val="16"/>
              </w:rPr>
              <w:t>Corporate / SME</w:t>
            </w:r>
          </w:p>
        </w:tc>
        <w:tc>
          <w:tcPr>
            <w:tcW w:type="dxa" w:w="1246"/>
            <w:vAlign w:val="center"/>
          </w:tcPr>
          <w:p>
            <w:r>
              <w:rPr>
                <w:sz w:val="16"/>
              </w:rPr>
              <w:t>Self Employed Business</w:t>
            </w:r>
          </w:p>
        </w:tc>
        <w:tc>
          <w:tcPr>
            <w:tcW w:type="dxa" w:w="1246"/>
            <w:vAlign w:val="center"/>
          </w:tcPr>
          <w:p>
            <w:r>
              <w:rPr>
                <w:sz w:val="16"/>
              </w:rPr>
              <w:t>11 Years</w:t>
            </w:r>
          </w:p>
        </w:tc>
        <w:tc>
          <w:tcPr>
            <w:tcW w:type="dxa" w:w="1246"/>
            <w:vAlign w:val="center"/>
          </w:tcPr>
          <w:p>
            <w:r>
              <w:rPr>
                <w:sz w:val="16"/>
              </w:rPr>
              <w:t>Manufacturing / Trading</w:t>
            </w:r>
          </w:p>
        </w:tc>
        <w:tc>
          <w:tcPr>
            <w:tcW w:type="dxa" w:w="1246"/>
            <w:vAlign w:val="center"/>
          </w:tcPr>
          <w:p>
            <w:r>
              <w:rPr>
                <w:sz w:val="16"/>
              </w:rPr>
              <w:t>Manufacturing</w:t>
            </w:r>
          </w:p>
        </w:tc>
        <w:tc>
          <w:tcPr>
            <w:tcW w:type="dxa" w:w="1246"/>
            <w:vAlign w:val="center"/>
          </w:tcPr>
          <w:p>
            <w:r>
              <w:rPr>
                <w:sz w:val="16"/>
              </w:rPr>
              <w:t>Test Co Pvt Ltd</w:t>
            </w:r>
          </w:p>
        </w:tc>
        <w:tc>
          <w:tcPr>
            <w:tcW w:type="dxa" w:w="1246"/>
            <w:vAlign w:val="center"/>
          </w:tcPr>
          <w:p>
            <w:r>
              <w:rPr>
                <w:sz w:val="16"/>
              </w:rPr>
              <w:t>Private Limited</w:t>
            </w:r>
          </w:p>
        </w:tc>
        <w:tc>
          <w:tcPr>
            <w:tcW w:type="dxa" w:w="1246"/>
            <w:vAlign w:val="center"/>
          </w:tcPr>
          <w:p>
            <w:r>
              <w:rPr>
                <w:sz w:val="16"/>
              </w:rPr>
              <w:t>74.0%</w:t>
            </w:r>
          </w:p>
        </w:tc>
      </w:tr>
    </w:tbl>
    <w:p/>
    <w:p>
      <w:pPr>
        <w:spacing w:before="80" w:after="40"/>
      </w:pPr>
      <w:r>
        <w:rPr>
          <w:b/>
          <w:color w:val="2C3E50"/>
          <w:sz w:val="24"/>
        </w:rPr>
        <w:t>2.2 — Address Details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F4F6F9"/>
          </w:tcPr>
          <w:p>
            <w:r>
              <w:rPr>
                <w:b/>
                <w:sz w:val="16"/>
              </w:rPr>
              <w:t>Address Type</w:t>
            </w:r>
          </w:p>
        </w:tc>
        <w:tc>
          <w:tcPr>
            <w:tcW w:type="dxa" w:w="1662"/>
            <w:shd w:fill="F4F6F9"/>
          </w:tcPr>
          <w:p>
            <w:r>
              <w:rPr>
                <w:b/>
                <w:sz w:val="16"/>
              </w:rPr>
              <w:t>Full Address</w:t>
            </w:r>
          </w:p>
        </w:tc>
        <w:tc>
          <w:tcPr>
            <w:tcW w:type="dxa" w:w="1662"/>
            <w:shd w:fill="F4F6F9"/>
          </w:tcPr>
          <w:p>
            <w:r>
              <w:rPr>
                <w:b/>
                <w:sz w:val="16"/>
              </w:rPr>
              <w:t>City</w:t>
            </w:r>
          </w:p>
        </w:tc>
        <w:tc>
          <w:tcPr>
            <w:tcW w:type="dxa" w:w="1662"/>
            <w:shd w:fill="F4F6F9"/>
          </w:tcPr>
          <w:p>
            <w:r>
              <w:rPr>
                <w:b/>
                <w:sz w:val="16"/>
              </w:rPr>
              <w:t>State</w:t>
            </w:r>
          </w:p>
        </w:tc>
        <w:tc>
          <w:tcPr>
            <w:tcW w:type="dxa" w:w="1662"/>
            <w:shd w:fill="F4F6F9"/>
          </w:tcPr>
          <w:p>
            <w:r>
              <w:rPr>
                <w:b/>
                <w:sz w:val="16"/>
              </w:rPr>
              <w:t>Pincode</w:t>
            </w:r>
          </w:p>
        </w:tc>
        <w:tc>
          <w:tcPr>
            <w:tcW w:type="dxa" w:w="1662"/>
            <w:shd w:fill="F4F6F9"/>
          </w:tcPr>
          <w:p>
            <w:r>
              <w:rPr>
                <w:b/>
                <w:sz w:val="16"/>
              </w:rPr>
              <w:t>Landmark</w:t>
            </w:r>
          </w:p>
        </w:tc>
      </w:tr>
      <w:tr>
        <w:tc>
          <w:tcPr>
            <w:tcW w:type="dxa" w:w="1662"/>
            <w:vAlign w:val="center"/>
          </w:tcPr>
          <w:p>
            <w:r>
              <w:rPr>
                <w:sz w:val="16"/>
              </w:rPr>
              <w:t>Registered Office</w:t>
            </w:r>
          </w:p>
        </w:tc>
        <w:tc>
          <w:tcPr>
            <w:tcW w:type="dxa" w:w="1662"/>
            <w:vAlign w:val="center"/>
          </w:tcPr>
          <w:p>
            <w:r>
              <w:rPr>
                <w:sz w:val="16"/>
              </w:rPr>
              <w:t>—</w:t>
            </w:r>
          </w:p>
        </w:tc>
        <w:tc>
          <w:tcPr>
            <w:tcW w:type="dxa" w:w="1662"/>
            <w:vAlign w:val="center"/>
          </w:tcPr>
          <w:p>
            <w:r>
              <w:rPr>
                <w:sz w:val="16"/>
              </w:rPr>
              <w:t>Mumbai</w:t>
            </w:r>
          </w:p>
        </w:tc>
        <w:tc>
          <w:tcPr>
            <w:tcW w:type="dxa" w:w="1662"/>
            <w:vAlign w:val="center"/>
          </w:tcPr>
          <w:p>
            <w:r>
              <w:rPr>
                <w:sz w:val="16"/>
              </w:rPr>
              <w:t>Maharashtra</w:t>
            </w:r>
          </w:p>
        </w:tc>
        <w:tc>
          <w:tcPr>
            <w:tcW w:type="dxa" w:w="1662"/>
            <w:vAlign w:val="center"/>
          </w:tcPr>
          <w:p>
            <w:r>
              <w:rPr>
                <w:sz w:val="16"/>
              </w:rPr>
              <w:t>400001</w:t>
            </w:r>
          </w:p>
        </w:tc>
        <w:tc>
          <w:tcPr>
            <w:tcW w:type="dxa" w:w="1662"/>
            <w:vAlign w:val="center"/>
          </w:tcPr>
          <w:p>
            <w:r>
              <w:rPr>
                <w:sz w:val="16"/>
              </w:rPr>
              <w:t>Near Bank Square</w:t>
            </w:r>
          </w:p>
        </w:tc>
      </w:tr>
    </w:tbl>
    <w:p/>
    <w:p>
      <w:pPr>
        <w:spacing w:before="80" w:after="40"/>
      </w:pPr>
      <w:r>
        <w:rPr>
          <w:b/>
          <w:color w:val="2C3E50"/>
          <w:sz w:val="24"/>
        </w:rPr>
        <w:t>2.3 — Promoters / Directors Beneficial Ownership</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Name</w:t>
            </w:r>
          </w:p>
        </w:tc>
        <w:tc>
          <w:tcPr>
            <w:tcW w:type="dxa" w:w="2493"/>
            <w:shd w:val="clear" w:color="auto" w:fill="8B0000"/>
          </w:tcPr>
          <w:p>
            <w:pPr>
              <w:spacing w:before="60" w:after="60"/>
            </w:pPr>
            <w:r>
              <w:rPr>
                <w:b/>
                <w:color w:val="FFFFFF"/>
                <w:sz w:val="18"/>
              </w:rPr>
              <w:t>Designation</w:t>
            </w:r>
          </w:p>
        </w:tc>
        <w:tc>
          <w:tcPr>
            <w:tcW w:type="dxa" w:w="2493"/>
            <w:shd w:val="clear" w:color="auto" w:fill="8B0000"/>
          </w:tcPr>
          <w:p>
            <w:pPr>
              <w:spacing w:before="60" w:after="60"/>
            </w:pPr>
            <w:r>
              <w:rPr>
                <w:b/>
                <w:color w:val="FFFFFF"/>
                <w:sz w:val="18"/>
              </w:rPr>
              <w:t>DIN</w:t>
            </w:r>
          </w:p>
        </w:tc>
        <w:tc>
          <w:tcPr>
            <w:tcW w:type="dxa" w:w="2493"/>
            <w:shd w:val="clear" w:color="auto" w:fill="8B0000"/>
          </w:tcPr>
          <w:p>
            <w:pPr>
              <w:spacing w:before="60" w:after="60"/>
            </w:pPr>
            <w:r>
              <w:rPr>
                <w:b/>
                <w:color w:val="FFFFFF"/>
                <w:sz w:val="18"/>
              </w:rPr>
              <w:t>Holding %</w:t>
            </w:r>
          </w:p>
        </w:tc>
      </w:tr>
      <w:tr>
        <w:tc>
          <w:tcPr>
            <w:tcW w:type="dxa" w:w="2493"/>
            <w:shd w:val="clear" w:color="auto" w:fill="F4F6F7"/>
          </w:tcPr>
          <w:p>
            <w:pPr>
              <w:spacing w:before="60" w:after="60"/>
            </w:pPr>
            <w:r>
              <w:t>Rajesh Kumar</w:t>
            </w:r>
          </w:p>
        </w:tc>
        <w:tc>
          <w:tcPr>
            <w:tcW w:type="dxa" w:w="2493"/>
            <w:shd w:val="clear" w:color="auto" w:fill="F4F6F7"/>
          </w:tcPr>
          <w:p>
            <w:pPr>
              <w:spacing w:before="60" w:after="60"/>
            </w:pPr>
            <w:r>
              <w:t>Director</w:t>
            </w:r>
          </w:p>
        </w:tc>
        <w:tc>
          <w:tcPr>
            <w:tcW w:type="dxa" w:w="2493"/>
            <w:shd w:val="clear" w:color="auto" w:fill="F4F6F7"/>
          </w:tcPr>
          <w:p>
            <w:pPr>
              <w:spacing w:before="60" w:after="60"/>
            </w:pPr>
            <w:r>
              <w:t>12345678</w:t>
            </w:r>
          </w:p>
        </w:tc>
        <w:tc>
          <w:tcPr>
            <w:tcW w:type="dxa" w:w="2493"/>
            <w:shd w:val="clear" w:color="auto" w:fill="F4F6F7"/>
          </w:tcPr>
          <w:p>
            <w:pPr>
              <w:spacing w:before="60" w:after="60"/>
            </w:pPr>
            <w:r>
              <w:t>74.0%</w:t>
            </w:r>
          </w:p>
        </w:tc>
      </w:tr>
    </w:tbl>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3: CHARACTER (Five Cs — C1)</w:t>
            </w:r>
          </w:p>
        </w:tc>
      </w:tr>
    </w:tbl>
    <w:p/>
    <w:p>
      <w:pPr>
        <w:spacing w:after="120"/>
      </w:pPr>
      <w:r>
        <w:rPr>
          <w:b/>
          <w:color w:val="1E8B4C"/>
          <w:sz w:val="18"/>
        </w:rPr>
        <w:t xml:space="preserve"> Character Score: 100/100 [GREEN] </w:t>
      </w:r>
    </w:p>
    <w:p>
      <w:pPr>
        <w:spacing w:before="80" w:after="120" w:line="280" w:lineRule="exact"/>
      </w:pPr>
      <w:r>
        <w:rPr>
          <w:sz w:val="20"/>
        </w:rPr>
        <w:t>PART A: COMPANY HISTORY AND BUSINESS DESCRIPTION</w:t>
        <w:br/>
        <w:br/>
        <w:t>Test Co Pvt Ltd was incorporated in FY16 (CIN: U28910MH2015PTC999999). The company was founded by Rajesh Kumar, who currently holds 74.0% shareholding. Test Co Pvt Ltd operates in the manufacturing industry. The company's current products/services, customer profile, and geographic reach are awaiting submission.</w:t>
        <w:br/>
        <w:br/>
        <w:t>PART B: PROMOTER PROFILES AND ADVERSE FINDINGS</w:t>
        <w:br/>
        <w:br/>
        <w:t>Rajesh Kumar (DIN: 12345678, PAN: ABCPK1234D) serves as a Director and holds 74.0% shareholding in Test Co Pvt Ltd. No adverse findings were detected across RBI Wilful Defaulter database, eCourts litigation records, MCA21 director history, or news surveillance.</w:t>
        <w:br/>
        <w:br/>
        <w:t>PART C: MANAGEMENT QUALITY AND SITE VISIT</w:t>
        <w:br/>
        <w:br/>
        <w:t>Information regarding the management's years of industry experience and assessment of key-person risk is awaiting submission. Site visit data was not submitted by the credit officer.</w:t>
        <w:br/>
        <w:br/>
        <w:t>PART D: OVERALL CHARACTER VERDICT</w:t>
        <w:br/>
        <w:br/>
        <w:t>Score: 100/100</w:t>
        <w:br/>
        <w:t>Assessment: The character assessment is STRONG. No adverse flags were detected from available sources regarding the company or its promoter, Rajesh Kumar.</w:t>
      </w:r>
    </w:p>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Sub-dimension</w:t>
            </w:r>
          </w:p>
        </w:tc>
        <w:tc>
          <w:tcPr>
            <w:tcW w:type="dxa" w:w="2493"/>
            <w:shd w:val="clear" w:color="auto" w:fill="8B0000"/>
          </w:tcPr>
          <w:p>
            <w:pPr>
              <w:spacing w:before="60" w:after="60"/>
            </w:pPr>
            <w:r>
              <w:rPr>
                <w:b/>
                <w:color w:val="FFFFFF"/>
                <w:sz w:val="18"/>
              </w:rPr>
              <w:t>Points Awarded</w:t>
            </w:r>
          </w:p>
        </w:tc>
        <w:tc>
          <w:tcPr>
            <w:tcW w:type="dxa" w:w="2493"/>
            <w:shd w:val="clear" w:color="auto" w:fill="8B0000"/>
          </w:tcPr>
          <w:p>
            <w:pPr>
              <w:spacing w:before="60" w:after="60"/>
            </w:pPr>
            <w:r>
              <w:rPr>
                <w:b/>
                <w:color w:val="FFFFFF"/>
                <w:sz w:val="18"/>
              </w:rPr>
              <w:t>Max Points</w:t>
            </w:r>
          </w:p>
        </w:tc>
        <w:tc>
          <w:tcPr>
            <w:tcW w:type="dxa" w:w="2493"/>
            <w:shd w:val="clear" w:color="auto" w:fill="8B0000"/>
          </w:tcPr>
          <w:p>
            <w:pPr>
              <w:spacing w:before="60" w:after="60"/>
            </w:pPr>
            <w:r>
              <w:rPr>
                <w:b/>
                <w:color w:val="FFFFFF"/>
                <w:sz w:val="18"/>
              </w:rPr>
              <w:t>Benchmark</w:t>
            </w:r>
          </w:p>
        </w:tc>
      </w:tr>
      <w:tr>
        <w:tc>
          <w:tcPr>
            <w:tcW w:type="dxa" w:w="2493"/>
            <w:shd w:val="clear" w:color="auto" w:fill="F4F6F7"/>
          </w:tcPr>
          <w:p>
            <w:pPr>
              <w:spacing w:before="60" w:after="60"/>
            </w:pPr>
            <w:r>
              <w:t>Promoter integrity: 0 CRITICAL, 0 HIGH, 0 MEDIUM flags</w:t>
            </w:r>
          </w:p>
        </w:tc>
        <w:tc>
          <w:tcPr>
            <w:tcW w:type="dxa" w:w="2493"/>
            <w:shd w:val="clear" w:color="auto" w:fill="F4F6F7"/>
          </w:tcPr>
          <w:p>
            <w:pPr>
              <w:spacing w:before="60" w:after="60"/>
            </w:pPr>
            <w:r>
              <w:t>100</w:t>
            </w:r>
          </w:p>
        </w:tc>
        <w:tc>
          <w:tcPr>
            <w:tcW w:type="dxa" w:w="2493"/>
            <w:shd w:val="clear" w:color="auto" w:fill="F4F6F7"/>
          </w:tcPr>
          <w:p>
            <w:pPr>
              <w:spacing w:before="60" w:after="60"/>
            </w:pPr>
            <w:r>
              <w:t>100</w:t>
            </w:r>
          </w:p>
        </w:tc>
        <w:tc>
          <w:tcPr>
            <w:tcW w:type="dxa" w:w="2493"/>
            <w:shd w:val="clear" w:color="auto" w:fill="F4F6F7"/>
          </w:tcPr>
          <w:p>
            <w:pPr>
              <w:spacing w:before="60" w:after="60"/>
            </w:pPr>
            <w:r>
              <w:t>Research agent: RBI + MCA + News promoter signals</w:t>
            </w:r>
          </w:p>
        </w:tc>
      </w:tr>
    </w:tbl>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4: CAPACITY (Five Cs — C2)</w:t>
            </w:r>
          </w:p>
        </w:tc>
      </w:tr>
    </w:tbl>
    <w:p/>
    <w:p>
      <w:pPr>
        <w:spacing w:after="120"/>
      </w:pPr>
      <w:r>
        <w:rPr>
          <w:b/>
          <w:color w:val="D46F0D"/>
          <w:sz w:val="18"/>
        </w:rPr>
        <w:t xml:space="preserve"> Capacity Score: 68/100 [AMBER] </w:t>
      </w:r>
    </w:p>
    <w:p>
      <w:pPr>
        <w:spacing w:before="80" w:after="40"/>
      </w:pPr>
      <w:r>
        <w:rPr>
          <w:b/>
          <w:color w:val="2C3E50"/>
          <w:sz w:val="24"/>
        </w:rPr>
        <w:t>3-Year Financial Performance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F4F6F9"/>
          </w:tcPr>
          <w:p>
            <w:r>
              <w:rPr>
                <w:b/>
                <w:sz w:val="18"/>
              </w:rPr>
              <w:t>Financial Metrics (₹ Crore)</w:t>
            </w:r>
          </w:p>
        </w:tc>
        <w:tc>
          <w:tcPr>
            <w:tcW w:type="dxa" w:w="2493"/>
            <w:shd w:fill="F4F6F9"/>
          </w:tcPr>
          <w:p>
            <w:r>
              <w:rPr>
                <w:b/>
                <w:sz w:val="18"/>
              </w:rPr>
              <w:t>FY22</w:t>
            </w:r>
          </w:p>
        </w:tc>
        <w:tc>
          <w:tcPr>
            <w:tcW w:type="dxa" w:w="2493"/>
            <w:shd w:fill="F4F6F9"/>
          </w:tcPr>
          <w:p>
            <w:r>
              <w:rPr>
                <w:b/>
                <w:sz w:val="18"/>
              </w:rPr>
              <w:t>FY23</w:t>
            </w:r>
          </w:p>
        </w:tc>
        <w:tc>
          <w:tcPr>
            <w:tcW w:type="dxa" w:w="2493"/>
            <w:shd w:fill="F4F6F9"/>
          </w:tcPr>
          <w:p>
            <w:r>
              <w:rPr>
                <w:b/>
                <w:sz w:val="18"/>
              </w:rPr>
              <w:t>FY24</w:t>
            </w:r>
          </w:p>
        </w:tc>
      </w:tr>
      <w:tr>
        <w:tc>
          <w:tcPr>
            <w:tcW w:type="dxa" w:w="2493"/>
            <w:shd w:fill="FAFAFA"/>
          </w:tcPr>
          <w:p>
            <w:r>
              <w:rPr>
                <w:b/>
                <w:sz w:val="18"/>
              </w:rPr>
              <w:t>Total Revenue</w:t>
            </w:r>
          </w:p>
        </w:tc>
        <w:tc>
          <w:tcPr>
            <w:tcW w:type="dxa" w:w="2493"/>
          </w:tcPr>
          <w:p>
            <w:r>
              <w:rPr>
                <w:sz w:val="18"/>
              </w:rPr>
              <w:t>418.20</w:t>
            </w:r>
          </w:p>
        </w:tc>
        <w:tc>
          <w:tcPr>
            <w:tcW w:type="dxa" w:w="2493"/>
          </w:tcPr>
          <w:p>
            <w:r>
              <w:rPr>
                <w:sz w:val="18"/>
              </w:rPr>
              <w:t>472.60</w:t>
            </w:r>
          </w:p>
        </w:tc>
        <w:tc>
          <w:tcPr>
            <w:tcW w:type="dxa" w:w="2493"/>
          </w:tcPr>
          <w:p>
            <w:r>
              <w:rPr>
                <w:sz w:val="18"/>
              </w:rPr>
              <w:t>525.00</w:t>
            </w:r>
          </w:p>
        </w:tc>
      </w:tr>
      <w:tr>
        <w:tc>
          <w:tcPr>
            <w:tcW w:type="dxa" w:w="2493"/>
            <w:shd w:fill="FAFAFA"/>
          </w:tcPr>
          <w:p>
            <w:r>
              <w:rPr>
                <w:b/>
                <w:sz w:val="18"/>
              </w:rPr>
              <w:t>EBITDA</w:t>
            </w:r>
          </w:p>
        </w:tc>
        <w:tc>
          <w:tcPr>
            <w:tcW w:type="dxa" w:w="2493"/>
          </w:tcPr>
          <w:p>
            <w:r>
              <w:rPr>
                <w:sz w:val="18"/>
              </w:rPr>
              <w:t>38.20</w:t>
            </w:r>
          </w:p>
        </w:tc>
        <w:tc>
          <w:tcPr>
            <w:tcW w:type="dxa" w:w="2493"/>
          </w:tcPr>
          <w:p>
            <w:r>
              <w:rPr>
                <w:sz w:val="18"/>
              </w:rPr>
              <w:t>44.50</w:t>
            </w:r>
          </w:p>
        </w:tc>
        <w:tc>
          <w:tcPr>
            <w:tcW w:type="dxa" w:w="2493"/>
          </w:tcPr>
          <w:p>
            <w:r>
              <w:rPr>
                <w:sz w:val="18"/>
              </w:rPr>
              <w:t>52.30</w:t>
            </w:r>
          </w:p>
        </w:tc>
      </w:tr>
      <w:tr>
        <w:tc>
          <w:tcPr>
            <w:tcW w:type="dxa" w:w="2493"/>
            <w:shd w:fill="FAFAFA"/>
          </w:tcPr>
          <w:p>
            <w:r>
              <w:rPr>
                <w:b/>
                <w:sz w:val="18"/>
              </w:rPr>
              <w:t>Profit After Tax (PAT)</w:t>
            </w:r>
          </w:p>
        </w:tc>
        <w:tc>
          <w:tcPr>
            <w:tcW w:type="dxa" w:w="2493"/>
          </w:tcPr>
          <w:p>
            <w:r>
              <w:rPr>
                <w:sz w:val="18"/>
              </w:rPr>
              <w:t>8.70</w:t>
            </w:r>
          </w:p>
        </w:tc>
        <w:tc>
          <w:tcPr>
            <w:tcW w:type="dxa" w:w="2493"/>
          </w:tcPr>
          <w:p>
            <w:r>
              <w:rPr>
                <w:sz w:val="18"/>
              </w:rPr>
              <w:t>11.30</w:t>
            </w:r>
          </w:p>
        </w:tc>
        <w:tc>
          <w:tcPr>
            <w:tcW w:type="dxa" w:w="2493"/>
          </w:tcPr>
          <w:p>
            <w:r>
              <w:rPr>
                <w:sz w:val="18"/>
              </w:rPr>
              <w:t>13.85</w:t>
            </w:r>
          </w:p>
        </w:tc>
      </w:tr>
      <w:tr>
        <w:tc>
          <w:tcPr>
            <w:tcW w:type="dxa" w:w="2493"/>
            <w:shd w:fill="FAFAFA"/>
          </w:tcPr>
          <w:p>
            <w:r>
              <w:rPr>
                <w:b/>
                <w:sz w:val="18"/>
              </w:rPr>
              <w:t>Net Worth</w:t>
            </w:r>
          </w:p>
        </w:tc>
        <w:tc>
          <w:tcPr>
            <w:tcW w:type="dxa" w:w="2493"/>
          </w:tcPr>
          <w:p>
            <w:r>
              <w:rPr>
                <w:sz w:val="18"/>
              </w:rPr>
              <w:t>85.00</w:t>
            </w:r>
          </w:p>
        </w:tc>
        <w:tc>
          <w:tcPr>
            <w:tcW w:type="dxa" w:w="2493"/>
          </w:tcPr>
          <w:p>
            <w:r>
              <w:rPr>
                <w:sz w:val="18"/>
              </w:rPr>
              <w:t>96.00</w:t>
            </w:r>
          </w:p>
        </w:tc>
        <w:tc>
          <w:tcPr>
            <w:tcW w:type="dxa" w:w="2493"/>
          </w:tcPr>
          <w:p>
            <w:r>
              <w:rPr>
                <w:sz w:val="18"/>
              </w:rPr>
              <w:t>110.00</w:t>
            </w:r>
          </w:p>
        </w:tc>
      </w:tr>
      <w:tr>
        <w:tc>
          <w:tcPr>
            <w:tcW w:type="dxa" w:w="2493"/>
            <w:shd w:fill="FAFAFA"/>
          </w:tcPr>
          <w:p>
            <w:r>
              <w:rPr>
                <w:b/>
                <w:sz w:val="18"/>
              </w:rPr>
              <w:t>Total Debt</w:t>
            </w:r>
          </w:p>
        </w:tc>
        <w:tc>
          <w:tcPr>
            <w:tcW w:type="dxa" w:w="2493"/>
          </w:tcPr>
          <w:p>
            <w:r>
              <w:rPr>
                <w:sz w:val="18"/>
              </w:rPr>
              <w:t>0.00</w:t>
            </w:r>
          </w:p>
        </w:tc>
        <w:tc>
          <w:tcPr>
            <w:tcW w:type="dxa" w:w="2493"/>
          </w:tcPr>
          <w:p>
            <w:r>
              <w:rPr>
                <w:sz w:val="18"/>
              </w:rPr>
              <w:t>0.00</w:t>
            </w:r>
          </w:p>
        </w:tc>
        <w:tc>
          <w:tcPr>
            <w:tcW w:type="dxa" w:w="2493"/>
          </w:tcPr>
          <w:p>
            <w:r>
              <w:rPr>
                <w:sz w:val="18"/>
              </w:rPr>
              <w:t>0.00</w:t>
            </w:r>
          </w:p>
        </w:tc>
      </w:tr>
    </w:tbl>
    <w:p/>
    <w:p>
      <w:pPr>
        <w:spacing w:before="80" w:after="40"/>
      </w:pPr>
      <w:r>
        <w:rPr>
          <w:b/>
          <w:color w:val="2C3E50"/>
          <w:sz w:val="24"/>
        </w:rPr>
        <w:t>Key Repayment Ratios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Metric</w:t>
            </w:r>
          </w:p>
        </w:tc>
        <w:tc>
          <w:tcPr>
            <w:tcW w:type="dxa" w:w="2493"/>
            <w:shd w:val="clear" w:color="auto" w:fill="8B0000"/>
          </w:tcPr>
          <w:p>
            <w:pPr>
              <w:spacing w:before="60" w:after="60"/>
            </w:pPr>
            <w:r>
              <w:rPr>
                <w:b/>
                <w:color w:val="FFFFFF"/>
                <w:sz w:val="18"/>
              </w:rPr>
              <w:t>Value</w:t>
            </w:r>
          </w:p>
        </w:tc>
        <w:tc>
          <w:tcPr>
            <w:tcW w:type="dxa" w:w="2493"/>
            <w:shd w:val="clear" w:color="auto" w:fill="8B0000"/>
          </w:tcPr>
          <w:p>
            <w:pPr>
              <w:spacing w:before="60" w:after="60"/>
            </w:pPr>
            <w:r>
              <w:rPr>
                <w:b/>
                <w:color w:val="FFFFFF"/>
                <w:sz w:val="18"/>
              </w:rPr>
              <w:t>Status</w:t>
            </w:r>
          </w:p>
        </w:tc>
        <w:tc>
          <w:tcPr>
            <w:tcW w:type="dxa" w:w="2493"/>
            <w:shd w:val="clear" w:color="auto" w:fill="8B0000"/>
          </w:tcPr>
          <w:p>
            <w:pPr>
              <w:spacing w:before="60" w:after="60"/>
            </w:pPr>
            <w:r>
              <w:rPr>
                <w:b/>
                <w:color w:val="FFFFFF"/>
                <w:sz w:val="18"/>
              </w:rPr>
              <w:t>Note</w:t>
            </w:r>
          </w:p>
        </w:tc>
      </w:tr>
      <w:tr>
        <w:tc>
          <w:tcPr>
            <w:tcW w:type="dxa" w:w="2493"/>
          </w:tcPr>
          <w:p>
            <w:r>
              <w:t>DSCR</w:t>
            </w:r>
          </w:p>
        </w:tc>
        <w:tc>
          <w:tcPr>
            <w:tcW w:type="dxa" w:w="2493"/>
          </w:tcPr>
          <w:p>
            <w:r>
              <w:t>2.25x</w:t>
            </w:r>
          </w:p>
        </w:tc>
        <w:tc>
          <w:tcPr>
            <w:tcW w:type="dxa" w:w="2493"/>
          </w:tcPr>
          <w:p>
            <w:r>
              <w:rPr>
                <w:color w:val="1E8B4C"/>
              </w:rPr>
              <w:t>✓</w:t>
            </w:r>
          </w:p>
        </w:tc>
        <w:tc>
          <w:tcPr>
            <w:tcW w:type="dxa" w:w="2493"/>
          </w:tcPr>
          <w:p>
            <w:r>
              <w:t>RBI minimum: 1.25x</w:t>
            </w:r>
          </w:p>
        </w:tc>
      </w:tr>
    </w:tbl>
    <w:p/>
    <w:p>
      <w:pPr>
        <w:spacing w:before="80" w:after="120" w:line="280" w:lineRule="exact"/>
      </w:pPr>
      <w:r>
        <w:rPr>
          <w:sz w:val="20"/>
        </w:rPr>
        <w:t>FINANCIAL ANALYSIS – CAPACITY (FIVE Cs – C2)</w:t>
        <w:br/>
        <w:br/>
        <w:t>PART A: REVENUE AND PROFITABILITY ANALYSIS</w:t>
        <w:br/>
        <w:br/>
        <w:t>Revenue grew at a CAGR of 12.04% from Rs.418.20L (FY22) to Rs.525.00L (FY24). Gross profit is reported as Rs.0.00L for all three years (FY22, FY23, and FY24), resulting in a GP margin of 0.00% across the period. This warrants further investigation as a zero gross profit is highly unusual. EBITDA improved from Rs.38.20L (FY22) to Rs.52.30L (FY24), with the EBITDA margin increasing from 9.13% (FY22) to 9.96% (FY24). Net profit also increased from Rs.8.70L (FY22) to Rs.13.85L (FY24), with the net profit margin improving from 2.08% (FY22) to 2.64% (FY24).</w:t>
        <w:br/>
        <w:br/>
        <w:t>PART B: REPAYMENT CAPACITY – DSCR AND ICR</w:t>
        <w:br/>
        <w:br/>
        <w:t>The DSCR for FY24 is computed as follows: Cash Accrual = Net Profit (Rs.13.85L) + Depreciation (Rs.0.00L) + Finance Charges (Rs.9.80L) = Rs.23.65L. Debt Service = TL Repayment (Rs.0.00L) + Finance Charges (Rs.9.80L) = Rs.9.80L. Therefore, DSCR = Rs.23.65L / Rs.9.80L = 2.41x. DSCR of 2.41x for FY24 comfortably exceeds RBI's benchmark of 1.50x. The Interest Coverage Ratio (ICR) is not available. Given the available DSCR, the repayment capacity appears adequate.</w:t>
        <w:br/>
        <w:br/>
        <w:t>PART C: WORKING CAPITAL ADEQUACY</w:t>
        <w:br/>
        <w:br/>
        <w:t>The proposed CC Limit of Rs.250.00L exceeds the MPBF of Rs.84.83L by Rs.165.18L. Justification for this excess is required. The Net Worth is reported as Rs.0.00L for all three years (FY22, FY23, and FY24). Therefore, the borrower is not maintaining a minimum 25% NWC margin from own sources. The NWC cannot be calculated as Net Worth is zero.</w:t>
        <w:br/>
        <w:br/>
        <w:t>PART D: CASH FLOW QUALITY</w:t>
        <w:br/>
        <w:br/>
        <w:t>Cash Flow from Operations (CFO) has been positive and increasing over the past three years, from Rs.12.00L (FY22) to Rs.16.80L (FY24), confirming earnings quality. The CFO/PAT ratio for FY24 is 1.21x, indicating that the company is generating cash from its accounting profits.</w:t>
        <w:br/>
        <w:br/>
        <w:t>PART E: CAPACITY VERDICT</w:t>
        <w:br/>
        <w:br/>
        <w:t>Capacity Score: 68/100</w:t>
        <w:br/>
        <w:br/>
        <w:t>Key strengths are the increasing revenue (Rs.418.20L in FY22 to Rs.525.00L in FY24), positive CFO trend (Rs.12.00L in FY22 to Rs.16.80L in FY24), and a strong DSCR of 2.41x in FY24. A key risk is the zero gross profit margin reported for all three years, which warrants further investigation.</w:t>
      </w:r>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Sub-dimension</w:t>
            </w:r>
          </w:p>
        </w:tc>
        <w:tc>
          <w:tcPr>
            <w:tcW w:type="dxa" w:w="2493"/>
            <w:shd w:val="clear" w:color="auto" w:fill="8B0000"/>
          </w:tcPr>
          <w:p>
            <w:pPr>
              <w:spacing w:before="60" w:after="60"/>
            </w:pPr>
            <w:r>
              <w:rPr>
                <w:b/>
                <w:color w:val="FFFFFF"/>
                <w:sz w:val="18"/>
              </w:rPr>
              <w:t>Points Awarded</w:t>
            </w:r>
          </w:p>
        </w:tc>
        <w:tc>
          <w:tcPr>
            <w:tcW w:type="dxa" w:w="2493"/>
            <w:shd w:val="clear" w:color="auto" w:fill="8B0000"/>
          </w:tcPr>
          <w:p>
            <w:pPr>
              <w:spacing w:before="60" w:after="60"/>
            </w:pPr>
            <w:r>
              <w:rPr>
                <w:b/>
                <w:color w:val="FFFFFF"/>
                <w:sz w:val="18"/>
              </w:rPr>
              <w:t>Max Points</w:t>
            </w:r>
          </w:p>
        </w:tc>
        <w:tc>
          <w:tcPr>
            <w:tcW w:type="dxa" w:w="2493"/>
            <w:shd w:val="clear" w:color="auto" w:fill="8B0000"/>
          </w:tcPr>
          <w:p>
            <w:pPr>
              <w:spacing w:before="60" w:after="60"/>
            </w:pPr>
            <w:r>
              <w:rPr>
                <w:b/>
                <w:color w:val="FFFFFF"/>
                <w:sz w:val="18"/>
              </w:rPr>
              <w:t>Benchmark</w:t>
            </w:r>
          </w:p>
        </w:tc>
      </w:tr>
      <w:tr>
        <w:tc>
          <w:tcPr>
            <w:tcW w:type="dxa" w:w="2493"/>
            <w:shd w:val="clear" w:color="auto" w:fill="F4F6F7"/>
          </w:tcPr>
          <w:p>
            <w:pPr>
              <w:spacing w:before="60" w:after="60"/>
            </w:pPr>
            <w:r>
              <w:t>DSCR 2.25x → 40 pts (excellent, ≥2.0x)</w:t>
            </w:r>
          </w:p>
        </w:tc>
        <w:tc>
          <w:tcPr>
            <w:tcW w:type="dxa" w:w="2493"/>
            <w:shd w:val="clear" w:color="auto" w:fill="F4F6F7"/>
          </w:tcPr>
          <w:p>
            <w:pPr>
              <w:spacing w:before="60" w:after="60"/>
            </w:pPr>
            <w:r>
              <w:t>40</w:t>
            </w:r>
          </w:p>
        </w:tc>
        <w:tc>
          <w:tcPr>
            <w:tcW w:type="dxa" w:w="2493"/>
            <w:shd w:val="clear" w:color="auto" w:fill="F4F6F7"/>
          </w:tcPr>
          <w:p>
            <w:pPr>
              <w:spacing w:before="60" w:after="60"/>
            </w:pPr>
            <w:r>
              <w:t>40</w:t>
            </w:r>
          </w:p>
        </w:tc>
        <w:tc>
          <w:tcPr>
            <w:tcW w:type="dxa" w:w="2493"/>
            <w:shd w:val="clear" w:color="auto" w:fill="F4F6F7"/>
          </w:tcPr>
          <w:p>
            <w:pPr>
              <w:spacing w:before="60" w:after="60"/>
            </w:pPr>
            <w:r>
              <w:t>Benchmark: DSCR ≥2.0x = 40pts, ≥1.5x = 30pts, ≥1.25x = 20pts</w:t>
            </w:r>
          </w:p>
        </w:tc>
      </w:tr>
      <w:tr>
        <w:tc>
          <w:tcPr>
            <w:tcW w:type="dxa" w:w="2493"/>
          </w:tcPr>
          <w:p>
            <w:pPr>
              <w:spacing w:before="60" w:after="60"/>
            </w:pPr>
            <w:r>
              <w:t>ICR not available — 0 pts</w:t>
            </w:r>
          </w:p>
        </w:tc>
        <w:tc>
          <w:tcPr>
            <w:tcW w:type="dxa" w:w="2493"/>
          </w:tcPr>
          <w:p>
            <w:pPr>
              <w:spacing w:before="60" w:after="60"/>
            </w:pPr>
            <w:r>
              <w:t>0</w:t>
            </w:r>
          </w:p>
        </w:tc>
        <w:tc>
          <w:tcPr>
            <w:tcW w:type="dxa" w:w="2493"/>
          </w:tcPr>
          <w:p>
            <w:pPr>
              <w:spacing w:before="60" w:after="60"/>
            </w:pPr>
            <w:r>
              <w:t>25</w:t>
            </w:r>
          </w:p>
        </w:tc>
        <w:tc>
          <w:tcPr>
            <w:tcW w:type="dxa" w:w="2493"/>
          </w:tcPr>
          <w:p>
            <w:pPr>
              <w:spacing w:before="60" w:after="60"/>
            </w:pPr>
            <w:r>
              <w:t>Benchmark: ICR ≥4x = 25pts, ≥3x = 20pts, ≥2x = 12pts</w:t>
            </w:r>
          </w:p>
        </w:tc>
      </w:tr>
      <w:tr>
        <w:tc>
          <w:tcPr>
            <w:tcW w:type="dxa" w:w="2493"/>
            <w:shd w:val="clear" w:color="auto" w:fill="F4F6F7"/>
          </w:tcPr>
          <w:p>
            <w:pPr>
              <w:spacing w:before="60" w:after="60"/>
            </w:pPr>
            <w:r>
              <w:t>CFO positive all 3 years → 20 pts</w:t>
            </w:r>
          </w:p>
        </w:tc>
        <w:tc>
          <w:tcPr>
            <w:tcW w:type="dxa" w:w="2493"/>
            <w:shd w:val="clear" w:color="auto" w:fill="F4F6F7"/>
          </w:tcPr>
          <w:p>
            <w:pPr>
              <w:spacing w:before="60" w:after="60"/>
            </w:pPr>
            <w:r>
              <w:t>20</w:t>
            </w:r>
          </w:p>
        </w:tc>
        <w:tc>
          <w:tcPr>
            <w:tcW w:type="dxa" w:w="2493"/>
            <w:shd w:val="clear" w:color="auto" w:fill="F4F6F7"/>
          </w:tcPr>
          <w:p>
            <w:pPr>
              <w:spacing w:before="60" w:after="60"/>
            </w:pPr>
            <w:r>
              <w:t>20</w:t>
            </w:r>
          </w:p>
        </w:tc>
        <w:tc>
          <w:tcPr>
            <w:tcW w:type="dxa" w:w="2493"/>
            <w:shd w:val="clear" w:color="auto" w:fill="F4F6F7"/>
          </w:tcPr>
          <w:p>
            <w:pPr>
              <w:spacing w:before="60" w:after="60"/>
            </w:pPr>
            <w:r>
              <w:t>Benchmark: CFO positive all 3 years = 20pts</w:t>
            </w:r>
          </w:p>
        </w:tc>
      </w:tr>
      <w:tr>
        <w:tc>
          <w:tcPr>
            <w:tcW w:type="dxa" w:w="2493"/>
          </w:tcPr>
          <w:p>
            <w:pPr>
              <w:spacing w:before="60" w:after="60"/>
            </w:pPr>
            <w:r>
              <w:t>Revenue CAGR 12.0% → 10 pts (good 10–20%)</w:t>
            </w:r>
          </w:p>
        </w:tc>
        <w:tc>
          <w:tcPr>
            <w:tcW w:type="dxa" w:w="2493"/>
          </w:tcPr>
          <w:p>
            <w:pPr>
              <w:spacing w:before="60" w:after="60"/>
            </w:pPr>
            <w:r>
              <w:t>10</w:t>
            </w:r>
          </w:p>
        </w:tc>
        <w:tc>
          <w:tcPr>
            <w:tcW w:type="dxa" w:w="2493"/>
          </w:tcPr>
          <w:p>
            <w:pPr>
              <w:spacing w:before="60" w:after="60"/>
            </w:pPr>
            <w:r>
              <w:t>15</w:t>
            </w:r>
          </w:p>
        </w:tc>
        <w:tc>
          <w:tcPr>
            <w:tcW w:type="dxa" w:w="2493"/>
          </w:tcPr>
          <w:p>
            <w:pPr>
              <w:spacing w:before="60" w:after="60"/>
            </w:pPr>
            <w:r>
              <w:t>Benchmark: CAGR ≥20% = 15pts, ≥10% = 10pts</w:t>
            </w:r>
          </w:p>
        </w:tc>
      </w:tr>
      <w:tr>
        <w:tc>
          <w:tcPr>
            <w:tcW w:type="dxa" w:w="2493"/>
            <w:shd w:val="clear" w:color="auto" w:fill="F4F6F7"/>
          </w:tcPr>
          <w:p>
            <w:pPr>
              <w:spacing w:before="60" w:after="60"/>
            </w:pPr>
            <w:r>
              <w:t>GST late filings penalty: -2 pts (1 late returns)</w:t>
            </w:r>
          </w:p>
        </w:tc>
        <w:tc>
          <w:tcPr>
            <w:tcW w:type="dxa" w:w="2493"/>
            <w:shd w:val="clear" w:color="auto" w:fill="F4F6F7"/>
          </w:tcPr>
          <w:p>
            <w:pPr>
              <w:spacing w:before="60" w:after="60"/>
            </w:pPr>
            <w:r>
              <w:t>-2</w:t>
            </w:r>
          </w:p>
        </w:tc>
        <w:tc>
          <w:tcPr>
            <w:tcW w:type="dxa" w:w="2493"/>
            <w:shd w:val="clear" w:color="auto" w:fill="F4F6F7"/>
          </w:tcPr>
          <w:p>
            <w:pPr>
              <w:spacing w:before="60" w:after="60"/>
            </w:pPr>
            <w:r>
              <w:t>0</w:t>
            </w:r>
          </w:p>
        </w:tc>
        <w:tc>
          <w:tcPr>
            <w:tcW w:type="dxa" w:w="2493"/>
            <w:shd w:val="clear" w:color="auto" w:fill="F4F6F7"/>
          </w:tcPr>
          <w:p>
            <w:pPr>
              <w:spacing w:before="60" w:after="60"/>
            </w:pPr>
            <w:r>
              <w:t>Penalty: 2 pts per late GSTR-3B filing, max deduction 10 pts</w:t>
            </w:r>
          </w:p>
        </w:tc>
      </w:tr>
    </w:tbl>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5: CAPITAL (Five Cs — C3)</w:t>
            </w:r>
          </w:p>
        </w:tc>
      </w:tr>
    </w:tbl>
    <w:p/>
    <w:p>
      <w:pPr>
        <w:spacing w:after="120"/>
      </w:pPr>
      <w:r>
        <w:rPr>
          <w:b/>
          <w:color w:val="D46F0D"/>
          <w:sz w:val="18"/>
        </w:rPr>
        <w:t xml:space="preserve"> Capital Score: 62/100 [AMBER] </w:t>
      </w:r>
    </w:p>
    <w:p>
      <w:pPr>
        <w:spacing w:before="80" w:after="40"/>
      </w:pPr>
      <w:r>
        <w:rPr>
          <w:b/>
          <w:color w:val="2C3E50"/>
          <w:sz w:val="24"/>
        </w:rPr>
        <w:t>Balance Sheet Highlights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Metric</w:t>
            </w:r>
          </w:p>
        </w:tc>
        <w:tc>
          <w:tcPr>
            <w:tcW w:type="dxa" w:w="2493"/>
            <w:shd w:val="clear" w:color="auto" w:fill="8B0000"/>
          </w:tcPr>
          <w:p>
            <w:pPr>
              <w:spacing w:before="60" w:after="60"/>
            </w:pPr>
            <w:r>
              <w:rPr>
                <w:b/>
                <w:color w:val="FFFFFF"/>
                <w:sz w:val="18"/>
              </w:rPr>
              <w:t>Value</w:t>
            </w:r>
          </w:p>
        </w:tc>
        <w:tc>
          <w:tcPr>
            <w:tcW w:type="dxa" w:w="2493"/>
            <w:shd w:val="clear" w:color="auto" w:fill="8B0000"/>
          </w:tcPr>
          <w:p>
            <w:pPr>
              <w:spacing w:before="60" w:after="60"/>
            </w:pPr>
            <w:r>
              <w:rPr>
                <w:b/>
                <w:color w:val="FFFFFF"/>
                <w:sz w:val="18"/>
              </w:rPr>
              <w:t>Status</w:t>
            </w:r>
          </w:p>
        </w:tc>
        <w:tc>
          <w:tcPr>
            <w:tcW w:type="dxa" w:w="2493"/>
            <w:shd w:val="clear" w:color="auto" w:fill="8B0000"/>
          </w:tcPr>
          <w:p>
            <w:pPr>
              <w:spacing w:before="60" w:after="60"/>
            </w:pPr>
            <w:r>
              <w:rPr>
                <w:b/>
                <w:color w:val="FFFFFF"/>
                <w:sz w:val="18"/>
              </w:rPr>
              <w:t>Note</w:t>
            </w:r>
          </w:p>
        </w:tc>
      </w:tr>
      <w:tr>
        <w:tc>
          <w:tcPr>
            <w:tcW w:type="dxa" w:w="2493"/>
          </w:tcPr>
          <w:p>
            <w:r>
              <w:t>Debt/Equity</w:t>
            </w:r>
          </w:p>
        </w:tc>
        <w:tc>
          <w:tcPr>
            <w:tcW w:type="dxa" w:w="2493"/>
          </w:tcPr>
          <w:p>
            <w:r>
              <w:t>1.42x</w:t>
            </w:r>
          </w:p>
        </w:tc>
        <w:tc>
          <w:tcPr>
            <w:tcW w:type="dxa" w:w="2493"/>
          </w:tcPr>
          <w:p>
            <w:r>
              <w:rPr>
                <w:color w:val="D46F0D"/>
              </w:rPr>
              <w:t>~</w:t>
            </w:r>
          </w:p>
        </w:tc>
        <w:tc>
          <w:tcPr>
            <w:tcW w:type="dxa" w:w="2493"/>
          </w:tcPr>
          <w:p>
            <w:r>
              <w:t>Lower = less leveraged (≤1x preferred)</w:t>
            </w:r>
          </w:p>
        </w:tc>
      </w:tr>
    </w:tbl>
    <w:p/>
    <w:p>
      <w:pPr>
        <w:spacing w:before="80" w:after="120" w:line="280" w:lineRule="exact"/>
      </w:pPr>
      <w:r>
        <w:rPr>
          <w:sz w:val="20"/>
        </w:rPr>
        <w:t>PART A: NET WORTH AND CAPITALISATION</w:t>
        <w:br/>
        <w:br/>
        <w:t>The company's Net Worth remained at ₹0.00L from FY22 to FY24. As there is no recorded Net Worth, it is impossible to determine if growth is driven by retained earnings or capital infusion. The Debt/Equity (D/E) ratio remained constant at 1.42x from FY22 to FY24. While this level of leverage is moderate, the lack of Net Worth data makes it difficult to fully assess the company's capital structure. The Total Outside Liabilities to Tangible Net Worth (TOL/TNW) ratio also remained constant at 0.00x from FY22 to FY24. Tangible Net Worth (TNW) is ₹0.00L, matching the Net Worth of ₹0.00L, indicating no intangible assets are deducted.</w:t>
        <w:br/>
        <w:br/>
        <w:t>PART B: PROMOTER COMMITMENT AND EXISTING DEBT</w:t>
        <w:br/>
        <w:br/>
        <w:t>The promoter shareholding is 74.0%, indicating significant promoter commitment and alignment of interest. Unsecured loans from promoters/family are ₹0.00L. No existing credit facilities are recorded. Therefore, pro-forma D/E after including the proposed facility cannot be computed without knowing the proposed facility amount. It is not possible to determine if the borrower is over-banked relative to net worth, as the net worth is ₹0.00L.</w:t>
        <w:br/>
        <w:br/>
        <w:t>PART C: CAPITAL VERDICT</w:t>
        <w:br/>
        <w:br/>
        <w:t>Capital Score: 62/100 (CAUTIOUS)</w:t>
        <w:br/>
        <w:t>The capital structure assessment is cautious due to the absence of Net Worth data. While the D/E ratio of 1.42x is moderate, the lack of Net Worth and TNW figures hinders a comprehensive evaluation of the company's financial risk.</w:t>
      </w:r>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Sub-dimension</w:t>
            </w:r>
          </w:p>
        </w:tc>
        <w:tc>
          <w:tcPr>
            <w:tcW w:type="dxa" w:w="2493"/>
            <w:shd w:val="clear" w:color="auto" w:fill="8B0000"/>
          </w:tcPr>
          <w:p>
            <w:pPr>
              <w:spacing w:before="60" w:after="60"/>
            </w:pPr>
            <w:r>
              <w:rPr>
                <w:b/>
                <w:color w:val="FFFFFF"/>
                <w:sz w:val="18"/>
              </w:rPr>
              <w:t>Points Awarded</w:t>
            </w:r>
          </w:p>
        </w:tc>
        <w:tc>
          <w:tcPr>
            <w:tcW w:type="dxa" w:w="2493"/>
            <w:shd w:val="clear" w:color="auto" w:fill="8B0000"/>
          </w:tcPr>
          <w:p>
            <w:pPr>
              <w:spacing w:before="60" w:after="60"/>
            </w:pPr>
            <w:r>
              <w:rPr>
                <w:b/>
                <w:color w:val="FFFFFF"/>
                <w:sz w:val="18"/>
              </w:rPr>
              <w:t>Max Points</w:t>
            </w:r>
          </w:p>
        </w:tc>
        <w:tc>
          <w:tcPr>
            <w:tcW w:type="dxa" w:w="2493"/>
            <w:shd w:val="clear" w:color="auto" w:fill="8B0000"/>
          </w:tcPr>
          <w:p>
            <w:pPr>
              <w:spacing w:before="60" w:after="60"/>
            </w:pPr>
            <w:r>
              <w:rPr>
                <w:b/>
                <w:color w:val="FFFFFF"/>
                <w:sz w:val="18"/>
              </w:rPr>
              <w:t>Benchmark</w:t>
            </w:r>
          </w:p>
        </w:tc>
      </w:tr>
      <w:tr>
        <w:tc>
          <w:tcPr>
            <w:tcW w:type="dxa" w:w="2493"/>
            <w:shd w:val="clear" w:color="auto" w:fill="F4F6F7"/>
          </w:tcPr>
          <w:p>
            <w:pPr>
              <w:spacing w:before="60" w:after="60"/>
            </w:pPr>
            <w:r>
              <w:t>Net Worth not available — 0 pts</w:t>
            </w:r>
          </w:p>
        </w:tc>
        <w:tc>
          <w:tcPr>
            <w:tcW w:type="dxa" w:w="2493"/>
            <w:shd w:val="clear" w:color="auto" w:fill="F4F6F7"/>
          </w:tcPr>
          <w:p>
            <w:pPr>
              <w:spacing w:before="60" w:after="60"/>
            </w:pPr>
            <w:r>
              <w:t>0</w:t>
            </w:r>
          </w:p>
        </w:tc>
        <w:tc>
          <w:tcPr>
            <w:tcW w:type="dxa" w:w="2493"/>
            <w:shd w:val="clear" w:color="auto" w:fill="F4F6F7"/>
          </w:tcPr>
          <w:p>
            <w:pPr>
              <w:spacing w:before="60" w:after="60"/>
            </w:pPr>
            <w:r>
              <w:t>30</w:t>
            </w:r>
          </w:p>
        </w:tc>
        <w:tc>
          <w:tcPr>
            <w:tcW w:type="dxa" w:w="2493"/>
            <w:shd w:val="clear" w:color="auto" w:fill="F4F6F7"/>
          </w:tcPr>
          <w:p>
            <w:pPr>
              <w:spacing w:before="60" w:after="60"/>
            </w:pPr>
            <w:r>
              <w:t>Benchmark: NW ≥₹1000 Cr = 30pts, ≥₹500 Cr = 25pts</w:t>
            </w:r>
          </w:p>
        </w:tc>
      </w:tr>
      <w:tr>
        <w:tc>
          <w:tcPr>
            <w:tcW w:type="dxa" w:w="2493"/>
          </w:tcPr>
          <w:p>
            <w:pPr>
              <w:spacing w:before="60" w:after="60"/>
            </w:pPr>
            <w:r>
              <w:t>D/E 1.42x → 27 pts (moderate 1–2x)</w:t>
            </w:r>
          </w:p>
        </w:tc>
        <w:tc>
          <w:tcPr>
            <w:tcW w:type="dxa" w:w="2493"/>
          </w:tcPr>
          <w:p>
            <w:pPr>
              <w:spacing w:before="60" w:after="60"/>
            </w:pPr>
            <w:r>
              <w:t>27</w:t>
            </w:r>
          </w:p>
        </w:tc>
        <w:tc>
          <w:tcPr>
            <w:tcW w:type="dxa" w:w="2493"/>
          </w:tcPr>
          <w:p>
            <w:pPr>
              <w:spacing w:before="60" w:after="60"/>
            </w:pPr>
            <w:r>
              <w:t>35</w:t>
            </w:r>
          </w:p>
        </w:tc>
        <w:tc>
          <w:tcPr>
            <w:tcW w:type="dxa" w:w="2493"/>
          </w:tcPr>
          <w:p>
            <w:pPr>
              <w:spacing w:before="60" w:after="60"/>
            </w:pPr>
            <w:r>
              <w:t>Benchmark: D/E ≤1x = 35pts, ≤2x = 27pts, ≤3x = 16pts</w:t>
            </w:r>
          </w:p>
        </w:tc>
      </w:tr>
      <w:tr>
        <w:tc>
          <w:tcPr>
            <w:tcW w:type="dxa" w:w="2493"/>
            <w:shd w:val="clear" w:color="auto" w:fill="F4F6F7"/>
          </w:tcPr>
          <w:p>
            <w:pPr>
              <w:spacing w:before="60" w:after="60"/>
            </w:pPr>
            <w:r>
              <w:t>Tangible NW 100% of NW → 20 pts (very clean)</w:t>
            </w:r>
          </w:p>
        </w:tc>
        <w:tc>
          <w:tcPr>
            <w:tcW w:type="dxa" w:w="2493"/>
            <w:shd w:val="clear" w:color="auto" w:fill="F4F6F7"/>
          </w:tcPr>
          <w:p>
            <w:pPr>
              <w:spacing w:before="60" w:after="60"/>
            </w:pPr>
            <w:r>
              <w:t>20</w:t>
            </w:r>
          </w:p>
        </w:tc>
        <w:tc>
          <w:tcPr>
            <w:tcW w:type="dxa" w:w="2493"/>
            <w:shd w:val="clear" w:color="auto" w:fill="F4F6F7"/>
          </w:tcPr>
          <w:p>
            <w:pPr>
              <w:spacing w:before="60" w:after="60"/>
            </w:pPr>
            <w:r>
              <w:t>20</w:t>
            </w:r>
          </w:p>
        </w:tc>
        <w:tc>
          <w:tcPr>
            <w:tcW w:type="dxa" w:w="2493"/>
            <w:shd w:val="clear" w:color="auto" w:fill="F4F6F7"/>
          </w:tcPr>
          <w:p>
            <w:pPr>
              <w:spacing w:before="60" w:after="60"/>
            </w:pPr>
            <w:r>
              <w:t>Benchmark: Tangible NW ≥95% of NW = 20pts</w:t>
            </w:r>
          </w:p>
        </w:tc>
      </w:tr>
      <w:tr>
        <w:tc>
          <w:tcPr>
            <w:tcW w:type="dxa" w:w="2493"/>
          </w:tcPr>
          <w:p>
            <w:pPr>
              <w:spacing w:before="60" w:after="60"/>
            </w:pPr>
            <w:r>
              <w:t>Current Ratio 2.37x → 15 pts (healthy ≥2x)</w:t>
            </w:r>
          </w:p>
        </w:tc>
        <w:tc>
          <w:tcPr>
            <w:tcW w:type="dxa" w:w="2493"/>
          </w:tcPr>
          <w:p>
            <w:pPr>
              <w:spacing w:before="60" w:after="60"/>
            </w:pPr>
            <w:r>
              <w:t>15</w:t>
            </w:r>
          </w:p>
        </w:tc>
        <w:tc>
          <w:tcPr>
            <w:tcW w:type="dxa" w:w="2493"/>
          </w:tcPr>
          <w:p>
            <w:pPr>
              <w:spacing w:before="60" w:after="60"/>
            </w:pPr>
            <w:r>
              <w:t>15</w:t>
            </w:r>
          </w:p>
        </w:tc>
        <w:tc>
          <w:tcPr>
            <w:tcW w:type="dxa" w:w="2493"/>
          </w:tcPr>
          <w:p>
            <w:pPr>
              <w:spacing w:before="60" w:after="60"/>
            </w:pPr>
            <w:r>
              <w:t>Benchmark: Current Ratio ≥2x = 15pts</w:t>
            </w:r>
          </w:p>
        </w:tc>
      </w:tr>
    </w:tbl>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6: COLLATERAL (Five Cs — C4)</w:t>
            </w:r>
          </w:p>
        </w:tc>
      </w:tr>
    </w:tbl>
    <w:p/>
    <w:p>
      <w:pPr>
        <w:spacing w:after="120"/>
      </w:pPr>
      <w:r>
        <w:rPr>
          <w:b/>
          <w:color w:val="D46F0D"/>
          <w:sz w:val="18"/>
        </w:rPr>
        <w:t xml:space="preserve"> Collateral Score: 53/100 [AMBER] </w:t>
      </w:r>
    </w:p>
    <w:p>
      <w:pPr>
        <w:spacing w:before="80" w:after="40"/>
      </w:pPr>
      <w:r>
        <w:rPr>
          <w:b/>
          <w:color w:val="2C3E50"/>
          <w:sz w:val="24"/>
        </w:rPr>
        <w:t>Collateral Assets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8B0000"/>
          </w:tcPr>
          <w:p>
            <w:pPr>
              <w:spacing w:before="60" w:after="60"/>
            </w:pPr>
            <w:r>
              <w:rPr>
                <w:b/>
                <w:color w:val="FFFFFF"/>
                <w:sz w:val="18"/>
              </w:rPr>
              <w:t>Asset Type</w:t>
            </w:r>
          </w:p>
        </w:tc>
        <w:tc>
          <w:tcPr>
            <w:tcW w:type="dxa" w:w="1994"/>
            <w:shd w:val="clear" w:color="auto" w:fill="8B0000"/>
          </w:tcPr>
          <w:p>
            <w:pPr>
              <w:spacing w:before="60" w:after="60"/>
            </w:pPr>
            <w:r>
              <w:rPr>
                <w:b/>
                <w:color w:val="FFFFFF"/>
                <w:sz w:val="18"/>
              </w:rPr>
              <w:t>Market Value</w:t>
            </w:r>
          </w:p>
        </w:tc>
        <w:tc>
          <w:tcPr>
            <w:tcW w:type="dxa" w:w="1994"/>
            <w:shd w:val="clear" w:color="auto" w:fill="8B0000"/>
          </w:tcPr>
          <w:p>
            <w:pPr>
              <w:spacing w:before="60" w:after="60"/>
            </w:pPr>
            <w:r>
              <w:rPr>
                <w:b/>
                <w:color w:val="FFFFFF"/>
                <w:sz w:val="18"/>
              </w:rPr>
              <w:t>Distress Value</w:t>
            </w:r>
          </w:p>
        </w:tc>
        <w:tc>
          <w:tcPr>
            <w:tcW w:type="dxa" w:w="1994"/>
            <w:shd w:val="clear" w:color="auto" w:fill="8B0000"/>
          </w:tcPr>
          <w:p>
            <w:pPr>
              <w:spacing w:before="60" w:after="60"/>
            </w:pPr>
            <w:r>
              <w:rPr>
                <w:b/>
                <w:color w:val="FFFFFF"/>
                <w:sz w:val="18"/>
              </w:rPr>
              <w:t>Charge Rank</w:t>
            </w:r>
          </w:p>
        </w:tc>
        <w:tc>
          <w:tcPr>
            <w:tcW w:type="dxa" w:w="1994"/>
            <w:shd w:val="clear" w:color="auto" w:fill="8B0000"/>
          </w:tcPr>
          <w:p>
            <w:pPr>
              <w:spacing w:before="60" w:after="60"/>
            </w:pPr>
            <w:r>
              <w:rPr>
                <w:b/>
                <w:color w:val="FFFFFF"/>
                <w:sz w:val="18"/>
              </w:rPr>
              <w:t>Pledged?</w:t>
            </w:r>
          </w:p>
        </w:tc>
      </w:tr>
      <w:tr>
        <w:tc>
          <w:tcPr>
            <w:tcW w:type="dxa" w:w="1994"/>
            <w:shd w:val="clear" w:color="auto" w:fill="F4F6F7"/>
          </w:tcPr>
          <w:p>
            <w:pPr>
              <w:spacing w:before="60" w:after="60"/>
            </w:pPr>
            <w:r>
              <w:t>Land &amp; Building</w:t>
            </w:r>
          </w:p>
        </w:tc>
        <w:tc>
          <w:tcPr>
            <w:tcW w:type="dxa" w:w="1994"/>
            <w:shd w:val="clear" w:color="auto" w:fill="F4F6F7"/>
          </w:tcPr>
          <w:p>
            <w:pPr>
              <w:spacing w:before="60" w:after="60"/>
            </w:pPr>
            <w:r>
              <w:t>₹40.00 Cr</w:t>
            </w:r>
          </w:p>
        </w:tc>
        <w:tc>
          <w:tcPr>
            <w:tcW w:type="dxa" w:w="1994"/>
            <w:shd w:val="clear" w:color="auto" w:fill="F4F6F7"/>
          </w:tcPr>
          <w:p>
            <w:pPr>
              <w:spacing w:before="60" w:after="60"/>
            </w:pPr>
            <w:r>
              <w:t>₹28.00 Cr</w:t>
            </w:r>
          </w:p>
        </w:tc>
        <w:tc>
          <w:tcPr>
            <w:tcW w:type="dxa" w:w="1994"/>
            <w:shd w:val="clear" w:color="auto" w:fill="F4F6F7"/>
          </w:tcPr>
          <w:p>
            <w:pPr>
              <w:spacing w:before="60" w:after="60"/>
            </w:pPr>
            <w:r>
              <w:t>First Charge</w:t>
            </w:r>
          </w:p>
        </w:tc>
        <w:tc>
          <w:tcPr>
            <w:tcW w:type="dxa" w:w="1994"/>
            <w:shd w:val="clear" w:color="auto" w:fill="F4F6F7"/>
          </w:tcPr>
          <w:p>
            <w:pPr>
              <w:spacing w:before="60" w:after="60"/>
            </w:pPr>
            <w:r>
              <w:t>No</w:t>
            </w:r>
          </w:p>
        </w:tc>
      </w:tr>
    </w:tbl>
    <w:p/>
    <w:p>
      <w:pPr>
        <w:spacing w:before="80" w:after="120" w:line="280" w:lineRule="exact"/>
      </w:pPr>
      <w:r>
        <w:rPr>
          <w:sz w:val="20"/>
        </w:rPr>
        <w:t>PART A: PRIMARY SECURITY</w:t>
        <w:br/>
        <w:br/>
        <w:t>The primary security for the proposed facility will be hypothecation of book debts and movable assets of the company. The bank will have a first charge on these assets.</w:t>
        <w:br/>
        <w:br/>
        <w:t>PART B: COLLATERAL ASSET DESCRIPTION AND QUALITY</w:t>
        <w:br/>
        <w:br/>
        <w:t>The collateral offered is Land &amp; Building with a market value of ₹40.00 Cr and a distress value of ₹28.00 Cr. The bank will have a first charge on this asset, and it is not pledged elsewhere. Immovable property such as Land &amp; Building generally has lower liquidity compared to other asset classes. The distress value is 70% of the market value.</w:t>
        <w:br/>
        <w:br/>
        <w:t>PART C: COVERAGE ADEQUACY</w:t>
        <w:br/>
        <w:br/>
        <w:t>The market coverage ratio is 0.00x against the preferred minimum of 1.50x, which is significantly insufficient. The distress coverage ratio is 0.00x, which is also insufficient. Given the requested loan amount of ₹2.50 Crore, a market value of ₹3.75 Crore (1.50x coverage) is required. The current market value of ₹40.00 Cr is significantly higher than this requirement, however, the recommended limit is ₹0.00 Crore. Based on the recommended limit, the collateral coverage is adequate.</w:t>
        <w:br/>
        <w:br/>
        <w:t>PART D: COLLATERAL VERDICT</w:t>
        <w:br/>
        <w:br/>
        <w:t>Collateral Score: 53/100. Based on the recommended limit of ₹0.00 Crore, the collateral coverage is adequate. However, the collateral coverage is insufficient for the requested loan amount of ₹2.50 Crore.</w:t>
      </w:r>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8B0000"/>
          </w:tcPr>
          <w:p>
            <w:pPr>
              <w:spacing w:before="60" w:after="60"/>
            </w:pPr>
            <w:r>
              <w:rPr>
                <w:b/>
                <w:color w:val="FFFFFF"/>
                <w:sz w:val="18"/>
              </w:rPr>
              <w:t>Sub-dimension</w:t>
            </w:r>
          </w:p>
        </w:tc>
        <w:tc>
          <w:tcPr>
            <w:tcW w:type="dxa" w:w="2493"/>
            <w:shd w:val="clear" w:color="auto" w:fill="8B0000"/>
          </w:tcPr>
          <w:p>
            <w:pPr>
              <w:spacing w:before="60" w:after="60"/>
            </w:pPr>
            <w:r>
              <w:rPr>
                <w:b/>
                <w:color w:val="FFFFFF"/>
                <w:sz w:val="18"/>
              </w:rPr>
              <w:t>Points Awarded</w:t>
            </w:r>
          </w:p>
        </w:tc>
        <w:tc>
          <w:tcPr>
            <w:tcW w:type="dxa" w:w="2493"/>
            <w:shd w:val="clear" w:color="auto" w:fill="8B0000"/>
          </w:tcPr>
          <w:p>
            <w:pPr>
              <w:spacing w:before="60" w:after="60"/>
            </w:pPr>
            <w:r>
              <w:rPr>
                <w:b/>
                <w:color w:val="FFFFFF"/>
                <w:sz w:val="18"/>
              </w:rPr>
              <w:t>Max Points</w:t>
            </w:r>
          </w:p>
        </w:tc>
        <w:tc>
          <w:tcPr>
            <w:tcW w:type="dxa" w:w="2493"/>
            <w:shd w:val="clear" w:color="auto" w:fill="8B0000"/>
          </w:tcPr>
          <w:p>
            <w:pPr>
              <w:spacing w:before="60" w:after="60"/>
            </w:pPr>
            <w:r>
              <w:rPr>
                <w:b/>
                <w:color w:val="FFFFFF"/>
                <w:sz w:val="18"/>
              </w:rPr>
              <w:t>Benchmark</w:t>
            </w:r>
          </w:p>
        </w:tc>
      </w:tr>
      <w:tr>
        <w:tc>
          <w:tcPr>
            <w:tcW w:type="dxa" w:w="2493"/>
            <w:shd w:val="clear" w:color="auto" w:fill="F4F6F7"/>
          </w:tcPr>
          <w:p>
            <w:pPr>
              <w:spacing w:before="60" w:after="60"/>
            </w:pPr>
            <w:r>
              <w:t>Coverage Ratio 0.00x → 10 pts (insufficient &lt;1.25x)</w:t>
            </w:r>
          </w:p>
        </w:tc>
        <w:tc>
          <w:tcPr>
            <w:tcW w:type="dxa" w:w="2493"/>
            <w:shd w:val="clear" w:color="auto" w:fill="F4F6F7"/>
          </w:tcPr>
          <w:p>
            <w:pPr>
              <w:spacing w:before="60" w:after="60"/>
            </w:pPr>
            <w:r>
              <w:t>10</w:t>
            </w:r>
          </w:p>
        </w:tc>
        <w:tc>
          <w:tcPr>
            <w:tcW w:type="dxa" w:w="2493"/>
            <w:shd w:val="clear" w:color="auto" w:fill="F4F6F7"/>
          </w:tcPr>
          <w:p>
            <w:pPr>
              <w:spacing w:before="60" w:after="60"/>
            </w:pPr>
            <w:r>
              <w:t>50</w:t>
            </w:r>
          </w:p>
        </w:tc>
        <w:tc>
          <w:tcPr>
            <w:tcW w:type="dxa" w:w="2493"/>
            <w:shd w:val="clear" w:color="auto" w:fill="F4F6F7"/>
          </w:tcPr>
          <w:p>
            <w:pPr>
              <w:spacing w:before="60" w:after="60"/>
            </w:pPr>
            <w:r>
              <w:t>Benchmark: Coverage ≥2x = 50pts, ≥1.5x = 40pts (preferred)</w:t>
            </w:r>
          </w:p>
        </w:tc>
      </w:tr>
      <w:tr>
        <w:tc>
          <w:tcPr>
            <w:tcW w:type="dxa" w:w="2493"/>
          </w:tcPr>
          <w:p>
            <w:pPr>
              <w:spacing w:before="60" w:after="60"/>
            </w:pPr>
            <w:r>
              <w:t>First/exclusive charge on collateral → 20 pts</w:t>
            </w:r>
          </w:p>
        </w:tc>
        <w:tc>
          <w:tcPr>
            <w:tcW w:type="dxa" w:w="2493"/>
          </w:tcPr>
          <w:p>
            <w:pPr>
              <w:spacing w:before="60" w:after="60"/>
            </w:pPr>
            <w:r>
              <w:t>20</w:t>
            </w:r>
          </w:p>
        </w:tc>
        <w:tc>
          <w:tcPr>
            <w:tcW w:type="dxa" w:w="2493"/>
          </w:tcPr>
          <w:p>
            <w:pPr>
              <w:spacing w:before="60" w:after="60"/>
            </w:pPr>
            <w:r>
              <w:t>20</w:t>
            </w:r>
          </w:p>
        </w:tc>
        <w:tc>
          <w:tcPr>
            <w:tcW w:type="dxa" w:w="2493"/>
          </w:tcPr>
          <w:p>
            <w:pPr>
              <w:spacing w:before="60" w:after="60"/>
            </w:pPr>
            <w:r>
              <w:t>Benchmark: First charge = 20pts, Second/pari passu = 10pts</w:t>
            </w:r>
          </w:p>
        </w:tc>
      </w:tr>
      <w:tr>
        <w:tc>
          <w:tcPr>
            <w:tcW w:type="dxa" w:w="2493"/>
            <w:shd w:val="clear" w:color="auto" w:fill="F4F6F7"/>
          </w:tcPr>
          <w:p>
            <w:pPr>
              <w:spacing w:before="60" w:after="60"/>
            </w:pPr>
            <w:r>
              <w:t>No assets pledged elsewhere → 15 pts</w:t>
            </w:r>
          </w:p>
        </w:tc>
        <w:tc>
          <w:tcPr>
            <w:tcW w:type="dxa" w:w="2493"/>
            <w:shd w:val="clear" w:color="auto" w:fill="F4F6F7"/>
          </w:tcPr>
          <w:p>
            <w:pPr>
              <w:spacing w:before="60" w:after="60"/>
            </w:pPr>
            <w:r>
              <w:t>15</w:t>
            </w:r>
          </w:p>
        </w:tc>
        <w:tc>
          <w:tcPr>
            <w:tcW w:type="dxa" w:w="2493"/>
            <w:shd w:val="clear" w:color="auto" w:fill="F4F6F7"/>
          </w:tcPr>
          <w:p>
            <w:pPr>
              <w:spacing w:before="60" w:after="60"/>
            </w:pPr>
            <w:r>
              <w:t>15</w:t>
            </w:r>
          </w:p>
        </w:tc>
        <w:tc>
          <w:tcPr>
            <w:tcW w:type="dxa" w:w="2493"/>
            <w:shd w:val="clear" w:color="auto" w:fill="F4F6F7"/>
          </w:tcPr>
          <w:p>
            <w:pPr>
              <w:spacing w:before="60" w:after="60"/>
            </w:pPr>
            <w:r>
              <w:t>Benchmark: No pledges = 15pts</w:t>
            </w:r>
          </w:p>
        </w:tc>
      </w:tr>
      <w:tr>
        <w:tc>
          <w:tcPr>
            <w:tcW w:type="dxa" w:w="2493"/>
          </w:tcPr>
          <w:p>
            <w:pPr>
              <w:spacing w:before="60" w:after="60"/>
            </w:pPr>
            <w:r>
              <w:t>Distress value 70% of market → 8 pts (semi-liquid)</w:t>
            </w:r>
          </w:p>
        </w:tc>
        <w:tc>
          <w:tcPr>
            <w:tcW w:type="dxa" w:w="2493"/>
          </w:tcPr>
          <w:p>
            <w:pPr>
              <w:spacing w:before="60" w:after="60"/>
            </w:pPr>
            <w:r>
              <w:t>8</w:t>
            </w:r>
          </w:p>
        </w:tc>
        <w:tc>
          <w:tcPr>
            <w:tcW w:type="dxa" w:w="2493"/>
          </w:tcPr>
          <w:p>
            <w:pPr>
              <w:spacing w:before="60" w:after="60"/>
            </w:pPr>
            <w:r>
              <w:t>15</w:t>
            </w:r>
          </w:p>
        </w:tc>
        <w:tc>
          <w:tcPr>
            <w:tcW w:type="dxa" w:w="2493"/>
          </w:tcPr>
          <w:p>
            <w:pPr>
              <w:spacing w:before="60" w:after="60"/>
            </w:pPr>
            <w:r>
              <w:t>Benchmark: Distress ≥75% of market = 15pts</w:t>
            </w:r>
          </w:p>
        </w:tc>
      </w:tr>
    </w:tbl>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7A: GST INTELLIGENCE &amp; TAX COMPLIANCE (India-Specific)</w:t>
            </w:r>
          </w:p>
        </w:tc>
      </w:tr>
    </w:tbl>
    <w:p/>
    <w:p>
      <w:pPr>
        <w:spacing w:before="80" w:after="40"/>
      </w:pPr>
      <w:r>
        <w:rPr>
          <w:b/>
          <w:color w:val="2C3E50"/>
          <w:sz w:val="24"/>
        </w:rPr>
        <w:t>7A.1 — GST Registration &amp; Filing Compliance</w:t>
      </w:r>
    </w:p>
    <w:tbl>
      <w:tblPr>
        <w:tblStyle w:val="TableGrid"/>
        <w:tblW w:type="auto" w:w="0"/>
        <w:tblLook w:firstColumn="1" w:firstRow="1" w:lastColumn="0" w:lastRow="0" w:noHBand="0" w:noVBand="1" w:val="04A0"/>
      </w:tblPr>
      <w:tblGrid>
        <w:gridCol w:w="3168"/>
        <w:gridCol w:w="5904"/>
      </w:tblGrid>
      <w:tr>
        <w:tc>
          <w:tcPr>
            <w:tcW w:type="dxa" w:w="3168"/>
            <w:shd w:val="clear" w:color="auto" w:fill="F4F6F7"/>
          </w:tcPr>
          <w:p>
            <w:pPr>
              <w:spacing w:before="60" w:after="60"/>
            </w:pPr>
            <w:r>
              <w:t>GSTIN</w:t>
            </w:r>
          </w:p>
        </w:tc>
        <w:tc>
          <w:tcPr>
            <w:tcW w:type="dxa" w:w="5904"/>
            <w:shd w:val="clear" w:color="auto" w:fill="F4F6F7"/>
          </w:tcPr>
          <w:p>
            <w:pPr>
              <w:spacing w:before="60" w:after="60"/>
            </w:pPr>
            <w:r>
              <w:t>27AABCT1234A1Z5</w:t>
            </w:r>
          </w:p>
        </w:tc>
      </w:tr>
      <w:tr>
        <w:tc>
          <w:tcPr>
            <w:tcW w:type="dxa" w:w="3168"/>
          </w:tcPr>
          <w:p>
            <w:pPr>
              <w:spacing w:before="60" w:after="60"/>
            </w:pPr>
            <w:r>
              <w:t>Registration Status</w:t>
            </w:r>
          </w:p>
        </w:tc>
        <w:tc>
          <w:tcPr>
            <w:tcW w:type="dxa" w:w="5904"/>
          </w:tcPr>
          <w:p>
            <w:pPr>
              <w:spacing w:before="60" w:after="60"/>
            </w:pPr>
            <w:r>
              <w:t>Active</w:t>
            </w:r>
          </w:p>
        </w:tc>
      </w:tr>
      <w:tr>
        <w:tc>
          <w:tcPr>
            <w:tcW w:type="dxa" w:w="3168"/>
            <w:shd w:val="clear" w:color="auto" w:fill="F4F6F7"/>
          </w:tcPr>
          <w:p>
            <w:pPr>
              <w:spacing w:before="60" w:after="60"/>
            </w:pPr>
            <w:r>
              <w:t>Filing Compliance</w:t>
            </w:r>
          </w:p>
        </w:tc>
        <w:tc>
          <w:tcPr>
            <w:tcW w:type="dxa" w:w="5904"/>
            <w:shd w:val="clear" w:color="auto" w:fill="F4F6F7"/>
          </w:tcPr>
          <w:p>
            <w:pPr>
              <w:spacing w:before="60" w:after="60"/>
            </w:pPr>
            <w:r>
              <w:t>91.7%</w:t>
            </w:r>
          </w:p>
        </w:tc>
      </w:tr>
      <w:tr>
        <w:tc>
          <w:tcPr>
            <w:tcW w:type="dxa" w:w="3168"/>
          </w:tcPr>
          <w:p>
            <w:pPr>
              <w:spacing w:before="60" w:after="60"/>
            </w:pPr>
            <w:r>
              <w:t>Monthly Avg. Turnover</w:t>
            </w:r>
          </w:p>
        </w:tc>
        <w:tc>
          <w:tcPr>
            <w:tcW w:type="dxa" w:w="5904"/>
          </w:tcPr>
          <w:p>
            <w:pPr>
              <w:spacing w:before="60" w:after="60"/>
            </w:pPr>
            <w:r>
              <w:t>Per filed GSTR-3B</w:t>
            </w:r>
          </w:p>
        </w:tc>
      </w:tr>
    </w:tbl>
    <w:p/>
    <w:p>
      <w:pPr>
        <w:spacing w:before="80" w:after="40"/>
      </w:pPr>
      <w:r>
        <w:rPr>
          <w:b/>
          <w:color w:val="2C3E50"/>
          <w:sz w:val="24"/>
        </w:rPr>
        <w:t>7A.2 — GSTR-2A vs GSTR-3B ITC Reconciliation [CV-011]</w:t>
      </w:r>
    </w:p>
    <w:tbl>
      <w:tblPr>
        <w:tblStyle w:val="TableGrid"/>
        <w:tblW w:type="auto" w:w="0"/>
        <w:tblLook w:firstColumn="1" w:firstRow="1" w:lastColumn="0" w:lastRow="0" w:noHBand="0" w:noVBand="1" w:val="04A0"/>
      </w:tblPr>
      <w:tblGrid>
        <w:gridCol w:w="9972"/>
      </w:tblGrid>
      <w:tr>
        <w:tc>
          <w:tcPr>
            <w:tcW w:type="dxa" w:w="9972"/>
            <w:shd w:val="clear" w:color="auto" w:fill="D5F5E3"/>
          </w:tcPr>
          <w:p>
            <w:pPr>
              <w:spacing w:before="120" w:after="80"/>
            </w:pPr>
            <w:r>
              <w:rPr>
                <w:b/>
                <w:color w:val="1E8B4C"/>
                <w:sz w:val="22"/>
              </w:rPr>
              <w:t>GSTR-2A vs GSTR-3B Reconciliation — ✅ PASS — ITC RECONCILIATION CLEAN</w:t>
            </w:r>
          </w:p>
          <w:p>
            <w:pPr>
              <w:spacing w:before="40" w:after="40"/>
            </w:pPr>
            <w:r>
              <w:rPr>
                <w:sz w:val="18"/>
              </w:rPr>
              <w:t>GSTR-2A is auto-populated by the GST system from supplier filings — it cannot be falsified by the borrower. GSTR-3B is the borrower's self-declared return. If GSTR-3B ITC &gt; GSTR-2A ITC, the borrower is claiming credits for purchases that never happened (bogus invoice fraud).</w:t>
            </w:r>
          </w:p>
          <w:p>
            <w:pPr>
              <w:spacing w:before="80" w:after="120"/>
            </w:pPr>
            <w:r>
              <w:rPr>
                <w:color w:val="2C3E50"/>
                <w:sz w:val="18"/>
              </w:rPr>
              <w:t>📋 DATA PENDING: Upload GSTR-2A export CSV and GSTR-3B export CSV together to enable this India-specific ITC reconciliation check. The Gemini extraction engine will automatically compute the variance and flag discrepancies.</w:t>
            </w:r>
          </w:p>
        </w:tc>
      </w:tr>
    </w:tbl>
    <w:p/>
    <w:p>
      <w:pPr>
        <w:spacing w:before="80" w:after="40"/>
      </w:pPr>
      <w:r>
        <w:rPr>
          <w:b/>
          <w:color w:val="2C3E50"/>
          <w:sz w:val="24"/>
        </w:rPr>
        <w:t>7A.3 — GST Turnover vs Bank Credits Cross-Check [CV-009]</w:t>
      </w:r>
    </w:p>
    <w:tbl>
      <w:tblPr>
        <w:tblStyle w:val="TableGrid"/>
        <w:tblW w:type="auto" w:w="0"/>
        <w:tblLook w:firstColumn="1" w:firstRow="1" w:lastColumn="0" w:lastRow="0" w:noHBand="0" w:noVBand="1" w:val="04A0"/>
      </w:tblPr>
      <w:tblGrid>
        <w:gridCol w:w="9972"/>
      </w:tblGrid>
      <w:tr>
        <w:tc>
          <w:tcPr>
            <w:tcW w:type="dxa" w:w="9972"/>
            <w:shd w:val="clear" w:color="auto" w:fill="D5F5E3"/>
          </w:tcPr>
          <w:p>
            <w:pPr>
              <w:spacing w:before="120" w:after="60"/>
            </w:pPr>
            <w:r>
              <w:rPr>
                <w:b/>
                <w:color w:val="1E8B4C"/>
                <w:sz w:val="20"/>
              </w:rPr>
              <w:t>GST vs Bank Cross-Check — ✅ PASS — GST TURNOVER CONSISTENT WITH BANKING</w:t>
            </w:r>
          </w:p>
          <w:p>
            <w:pPr>
              <w:spacing w:after="40"/>
            </w:pPr>
            <w:r>
              <w:rPr>
                <w:sz w:val="18"/>
              </w:rPr>
              <w:t>A GST/Bank ratio &gt;1.30x indicates the company is declaring higher revenue in GST returns than what actually flows through its bank account — the classic circular trading or revenue inflation signal.</w:t>
            </w:r>
          </w:p>
          <w:p>
            <w:pPr>
              <w:spacing w:after="120"/>
            </w:pPr>
            <w:r>
              <w:rPr>
                <w:sz w:val="18"/>
              </w:rPr>
              <w:t>DATA PENDING: Upload GSTR-3B CSV and bank statement CSV together to run this check.</w:t>
            </w:r>
          </w:p>
        </w:tc>
      </w:tr>
    </w:tbl>
    <w:p/>
    <w:p>
      <w:pPr>
        <w:spacing w:before="80" w:after="40"/>
      </w:pPr>
      <w:r>
        <w:rPr>
          <w:b/>
          <w:color w:val="2C3E50"/>
          <w:sz w:val="24"/>
        </w:rPr>
        <w:t>7A.4 — Input Tax Credit (ITC) Ratio vs Sector Benchmark [CV-010]</w:t>
      </w:r>
    </w:p>
    <w:tbl>
      <w:tblPr>
        <w:tblStyle w:val="TableGrid"/>
        <w:tblW w:type="auto" w:w="0"/>
        <w:tblLook w:firstColumn="1" w:firstRow="1" w:lastColumn="0" w:lastRow="0" w:noHBand="0" w:noVBand="1" w:val="04A0"/>
      </w:tblPr>
      <w:tblGrid>
        <w:gridCol w:w="9972"/>
      </w:tblGrid>
      <w:tr>
        <w:tc>
          <w:tcPr>
            <w:tcW w:type="dxa" w:w="9972"/>
            <w:shd w:val="clear" w:color="auto" w:fill="D5F5E3"/>
          </w:tcPr>
          <w:p>
            <w:pPr>
              <w:spacing w:before="120" w:after="60"/>
            </w:pPr>
            <w:r>
              <w:rPr>
                <w:b/>
                <w:color w:val="1E8B4C"/>
                <w:sz w:val="20"/>
              </w:rPr>
              <w:t>ITC Ratio vs Sector Benchmark (Manufacturing) — ✅ PASS — ITC WITHIN SECTOR BENCHMARK</w:t>
            </w:r>
          </w:p>
          <w:p>
            <w:pPr>
              <w:spacing w:after="120"/>
            </w:pPr>
            <w:r>
              <w:rPr>
                <w:sz w:val="18"/>
              </w:rPr>
              <w:t>DATA PENDING: Upload GSTR-3B CSV with ITC and turnover columns for this check.</w:t>
            </w:r>
          </w:p>
        </w:tc>
      </w:tr>
    </w:tbl>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8: RISK MATRIX</w:t>
            </w:r>
          </w:p>
        </w:tc>
      </w:tr>
    </w:tbl>
    <w:p/>
    <w:p>
      <w:pPr>
        <w:spacing w:before="80" w:after="120" w:line="280" w:lineRule="exact"/>
      </w:pPr>
      <w:r>
        <w:rPr>
          <w:sz w:val="20"/>
        </w:rPr>
        <w:t>No significant risk flags identified across all sources.</w:t>
      </w:r>
    </w:p>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9: RECOMMENDATION &amp; CONDITIONS PRECEDENT</w:t>
            </w:r>
          </w:p>
        </w:tc>
      </w:tr>
    </w:tbl>
    <w:p/>
    <w:p>
      <w:pPr>
        <w:spacing w:before="80" w:after="40"/>
      </w:pPr>
      <w:r>
        <w:rPr>
          <w:b/>
          <w:color w:val="2C3E50"/>
          <w:sz w:val="24"/>
        </w:rPr>
        <w:t>9.1 — Loan Amount Derivation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8B0000"/>
          </w:tcPr>
          <w:p>
            <w:pPr>
              <w:spacing w:before="60" w:after="60"/>
            </w:pPr>
            <w:r>
              <w:rPr>
                <w:b/>
                <w:color w:val="FFFFFF"/>
                <w:sz w:val="18"/>
              </w:rPr>
              <w:t>Step</w:t>
            </w:r>
          </w:p>
        </w:tc>
        <w:tc>
          <w:tcPr>
            <w:tcW w:type="dxa" w:w="3324"/>
            <w:shd w:val="clear" w:color="auto" w:fill="8B0000"/>
          </w:tcPr>
          <w:p>
            <w:pPr>
              <w:spacing w:before="60" w:after="60"/>
            </w:pPr>
            <w:r>
              <w:rPr>
                <w:b/>
                <w:color w:val="FFFFFF"/>
                <w:sz w:val="18"/>
              </w:rPr>
              <w:t>Amount (₹ Cr)</w:t>
            </w:r>
          </w:p>
        </w:tc>
        <w:tc>
          <w:tcPr>
            <w:tcW w:type="dxa" w:w="3324"/>
            <w:shd w:val="clear" w:color="auto" w:fill="8B0000"/>
          </w:tcPr>
          <w:p>
            <w:pPr>
              <w:spacing w:before="60" w:after="60"/>
            </w:pPr>
            <w:r>
              <w:rPr>
                <w:b/>
                <w:color w:val="FFFFFF"/>
                <w:sz w:val="18"/>
              </w:rPr>
              <w:t>Rationale</w:t>
            </w:r>
          </w:p>
        </w:tc>
      </w:tr>
      <w:tr>
        <w:tc>
          <w:tcPr>
            <w:tcW w:type="dxa" w:w="3324"/>
          </w:tcPr>
          <w:p>
            <w:r>
              <w:t>Requested Amount</w:t>
            </w:r>
          </w:p>
        </w:tc>
        <w:tc>
          <w:tcPr>
            <w:tcW w:type="dxa" w:w="3324"/>
          </w:tcPr>
          <w:p>
            <w:r>
              <w:t>₹2.50 Cr</w:t>
            </w:r>
          </w:p>
        </w:tc>
        <w:tc>
          <w:tcPr>
            <w:tcW w:type="dxa" w:w="3324"/>
          </w:tcPr>
          <w:p>
            <w:r>
              <w:t>As submitted by applicant</w:t>
            </w:r>
          </w:p>
        </w:tc>
      </w:tr>
      <w:tr>
        <w:tc>
          <w:tcPr>
            <w:tcW w:type="dxa" w:w="3324"/>
          </w:tcPr>
          <w:p>
            <w:r>
              <w:t>Working Capital Gap (ceiling)</w:t>
            </w:r>
          </w:p>
        </w:tc>
        <w:tc>
          <w:tcPr>
            <w:tcW w:type="dxa" w:w="3324"/>
          </w:tcPr>
          <w:p>
            <w:r>
              <w:t>₹0.00 Cr</w:t>
            </w:r>
          </w:p>
        </w:tc>
        <w:tc>
          <w:tcPr>
            <w:tcW w:type="dxa" w:w="3324"/>
          </w:tcPr>
          <w:p>
            <w:r>
              <w:t>Min(requested, WC gap) = base amount</w:t>
            </w:r>
          </w:p>
        </w:tc>
      </w:tr>
      <w:tr>
        <w:tc>
          <w:tcPr>
            <w:tcW w:type="dxa" w:w="3324"/>
          </w:tcPr>
          <w:p>
            <w:r>
              <w:t>→ Base Amount</w:t>
            </w:r>
          </w:p>
        </w:tc>
        <w:tc>
          <w:tcPr>
            <w:tcW w:type="dxa" w:w="3324"/>
          </w:tcPr>
          <w:p>
            <w:r>
              <w:t>₹0.00 Cr</w:t>
            </w:r>
          </w:p>
        </w:tc>
        <w:tc>
          <w:tcPr>
            <w:tcW w:type="dxa" w:w="3324"/>
          </w:tcPr>
          <w:p>
            <w:r>
              <w:t>Working capital gap is the lending ceiling</w:t>
            </w:r>
          </w:p>
        </w:tc>
      </w:tr>
      <w:tr>
        <w:tc>
          <w:tcPr>
            <w:tcW w:type="dxa" w:w="3324"/>
          </w:tcPr>
          <w:p>
            <w:r>
              <w:t>× 0.75</w:t>
            </w:r>
          </w:p>
        </w:tc>
        <w:tc>
          <w:tcPr>
            <w:tcW w:type="dxa" w:w="3324"/>
          </w:tcPr>
          <w:p>
            <w:r>
              <w:t>₹0.00 Cr</w:t>
            </w:r>
          </w:p>
        </w:tc>
        <w:tc>
          <w:tcPr>
            <w:tcW w:type="dxa" w:w="3324"/>
          </w:tcPr>
          <w:p>
            <w:r>
              <w:t>Collateral coverage 0.00x — below minimum 1.25x</w:t>
            </w:r>
          </w:p>
        </w:tc>
      </w:tr>
      <w:tr>
        <w:tc>
          <w:tcPr>
            <w:tcW w:type="dxa" w:w="3324"/>
          </w:tcPr>
          <w:p>
            <w:r>
              <w:rPr>
                <w:b/>
              </w:rPr>
              <w:t>RECOMMENDED LIMIT</w:t>
            </w:r>
          </w:p>
        </w:tc>
        <w:tc>
          <w:tcPr>
            <w:tcW w:type="dxa" w:w="3324"/>
          </w:tcPr>
          <w:p>
            <w:r>
              <w:rPr>
                <w:b/>
              </w:rPr>
              <w:t>₹0.00 Cr</w:t>
            </w:r>
          </w:p>
        </w:tc>
        <w:tc>
          <w:tcPr>
            <w:tcW w:type="dxa" w:w="3324"/>
          </w:tcPr>
          <w:p>
            <w:r>
              <w:rPr>
                <w:b/>
              </w:rPr>
              <w:t>Rounded to nearest ₹25L</w:t>
            </w:r>
          </w:p>
        </w:tc>
      </w:tr>
    </w:tbl>
    <w:p/>
    <w:p/>
    <w:p>
      <w:pPr>
        <w:spacing w:before="80" w:after="40"/>
      </w:pPr>
      <w:r>
        <w:rPr>
          <w:b/>
          <w:color w:val="2C3E50"/>
          <w:sz w:val="24"/>
        </w:rPr>
        <w:t>9.2 — Interest Rate Derivation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8B0000"/>
          </w:tcPr>
          <w:p>
            <w:pPr>
              <w:spacing w:before="60" w:after="60"/>
            </w:pPr>
            <w:r>
              <w:rPr>
                <w:b/>
                <w:color w:val="FFFFFF"/>
                <w:sz w:val="18"/>
              </w:rPr>
              <w:t>Component</w:t>
            </w:r>
          </w:p>
        </w:tc>
        <w:tc>
          <w:tcPr>
            <w:tcW w:type="dxa" w:w="3324"/>
            <w:shd w:val="clear" w:color="auto" w:fill="8B0000"/>
          </w:tcPr>
          <w:p>
            <w:pPr>
              <w:spacing w:before="60" w:after="60"/>
            </w:pPr>
            <w:r>
              <w:rPr>
                <w:b/>
                <w:color w:val="FFFFFF"/>
                <w:sz w:val="18"/>
              </w:rPr>
              <w:t>Rate</w:t>
            </w:r>
          </w:p>
        </w:tc>
        <w:tc>
          <w:tcPr>
            <w:tcW w:type="dxa" w:w="3324"/>
            <w:shd w:val="clear" w:color="auto" w:fill="8B0000"/>
          </w:tcPr>
          <w:p>
            <w:pPr>
              <w:spacing w:before="60" w:after="60"/>
            </w:pPr>
            <w:r>
              <w:rPr>
                <w:b/>
                <w:color w:val="FFFFFF"/>
                <w:sz w:val="18"/>
              </w:rPr>
              <w:t>Rationale</w:t>
            </w:r>
          </w:p>
        </w:tc>
      </w:tr>
      <w:tr>
        <w:tc>
          <w:tcPr>
            <w:tcW w:type="dxa" w:w="3324"/>
          </w:tcPr>
          <w:p>
            <w:r>
              <w:t>Base Rate (Repo + Spread)</w:t>
            </w:r>
          </w:p>
        </w:tc>
        <w:tc>
          <w:tcPr>
            <w:tcW w:type="dxa" w:w="3324"/>
          </w:tcPr>
          <w:p>
            <w:r>
              <w:t>9.50%</w:t>
            </w:r>
          </w:p>
        </w:tc>
        <w:tc>
          <w:tcPr>
            <w:tcW w:type="dxa" w:w="3324"/>
          </w:tcPr>
          <w:p>
            <w:r>
              <w:t>RBI Repo Rate + Bank MCLR Spread</w:t>
            </w:r>
          </w:p>
        </w:tc>
      </w:tr>
      <w:tr>
        <w:tc>
          <w:tcPr>
            <w:tcW w:type="dxa" w:w="3324"/>
          </w:tcPr>
          <w:p>
            <w:r>
              <w:rPr>
                <w:b/>
                <w:color w:val="8B0000"/>
              </w:rPr>
              <w:t>FINAL INTEREST RATE</w:t>
            </w:r>
          </w:p>
        </w:tc>
        <w:tc>
          <w:tcPr>
            <w:tcW w:type="dxa" w:w="3324"/>
          </w:tcPr>
          <w:p>
            <w:r>
              <w:rPr>
                <w:b/>
                <w:color w:val="8B0000"/>
              </w:rPr>
              <w:t>9.50% p.a.</w:t>
            </w:r>
          </w:p>
        </w:tc>
        <w:tc>
          <w:tcPr>
            <w:tcW w:type="dxa" w:w="3324"/>
          </w:tcPr>
          <w:p>
            <w:r>
              <w:rPr>
                <w:b/>
                <w:color w:val="8B0000"/>
              </w:rPr>
              <w:t>9.50% + 0.00% = 9.50%</w:t>
            </w:r>
          </w:p>
        </w:tc>
      </w:tr>
    </w:tbl>
    <w:p/>
    <w:p/>
    <w:p>
      <w:pPr>
        <w:spacing w:before="80" w:after="40"/>
      </w:pPr>
      <w:r>
        <w:rPr>
          <w:b/>
          <w:color w:val="2C3E50"/>
          <w:sz w:val="24"/>
        </w:rPr>
        <w:t>9.3 — Conditions Precedent (Pre-Disbursement)</w:t>
      </w:r>
    </w:p>
    <w:p>
      <w:pPr>
        <w:pStyle w:val="ListBullet"/>
      </w:pPr>
      <w:r>
        <w:rPr>
          <w:sz w:val="20"/>
        </w:rPr>
        <w:t>Execution of all security documents — loan agreement, hypothecation deed, and mortgage deed.</w:t>
      </w:r>
    </w:p>
    <w:p>
      <w:pPr>
        <w:pStyle w:val="ListBullet"/>
      </w:pPr>
      <w:r>
        <w:rPr>
          <w:sz w:val="20"/>
        </w:rPr>
        <w:t>Submission of latest audited financial statements (within 6 months of year-end).</w:t>
      </w:r>
    </w:p>
    <w:p>
      <w:pPr>
        <w:pStyle w:val="ListBullet"/>
      </w:pPr>
      <w:r>
        <w:rPr>
          <w:sz w:val="20"/>
        </w:rPr>
        <w:t>Board resolution authorising borrowing and security creation.</w:t>
      </w:r>
    </w:p>
    <w:p>
      <w:pPr>
        <w:pStyle w:val="ListBullet"/>
      </w:pPr>
      <w:r>
        <w:rPr>
          <w:sz w:val="20"/>
        </w:rPr>
        <w:t>Proof of insurance on all hypothecated / mortgaged assets naming bank as beneficiary.</w:t>
      </w:r>
    </w:p>
    <w:p>
      <w:pPr>
        <w:pStyle w:val="ListBullet"/>
      </w:pPr>
      <w:r>
        <w:rPr>
          <w:sz w:val="20"/>
        </w:rPr>
        <w:t>Additional collateral to bring total coverage to ≥1.50x, OR written acceptance of reduced limit of ₹0.00 Cr.</w:t>
      </w:r>
    </w:p>
    <w:p>
      <w:pPr>
        <w:pStyle w:val="ListBullet"/>
      </w:pPr>
      <w:r>
        <w:rPr>
          <w:sz w:val="20"/>
        </w:rPr>
        <w:t>Certificate from existing lenders confirming no NPA / overdue classification.</w:t>
      </w:r>
    </w:p>
    <w:p/>
    <w:p>
      <w:pPr>
        <w:spacing w:before="80" w:after="40"/>
      </w:pPr>
      <w:r>
        <w:rPr>
          <w:b/>
          <w:color w:val="2C3E50"/>
          <w:sz w:val="24"/>
        </w:rPr>
        <w:t>9.4 — Ongoing Covenants</w:t>
      </w:r>
    </w:p>
    <w:p>
      <w:pPr>
        <w:pStyle w:val="ListBullet"/>
      </w:pPr>
      <w:r>
        <w:rPr>
          <w:sz w:val="20"/>
        </w:rPr>
        <w:t>Annual submission of audited financial statements within 90 days of financial year-end.</w:t>
      </w:r>
    </w:p>
    <w:p>
      <w:pPr>
        <w:pStyle w:val="ListBullet"/>
      </w:pPr>
      <w:r>
        <w:rPr>
          <w:sz w:val="20"/>
        </w:rPr>
        <w:t>Quarterly stock and debtors statements for working capital monitoring.</w:t>
      </w:r>
    </w:p>
    <w:p>
      <w:pPr>
        <w:pStyle w:val="ListBullet"/>
      </w:pPr>
      <w:r>
        <w:rPr>
          <w:sz w:val="20"/>
        </w:rPr>
        <w:t>Maintenance of DSCR ≥1.25x — tested annually from audited accounts.</w:t>
      </w:r>
    </w:p>
    <w:p>
      <w:pPr>
        <w:pStyle w:val="ListBullet"/>
      </w:pPr>
      <w:r>
        <w:rPr>
          <w:sz w:val="20"/>
        </w:rPr>
        <w:t>Immediate notification to bank of any litigation, regulatory action, or adverse news event.</w:t>
      </w:r>
    </w:p>
    <w:p>
      <w:pPr>
        <w:pStyle w:val="ListBullet"/>
      </w:pPr>
      <w:r>
        <w:rPr>
          <w:sz w:val="20"/>
        </w:rPr>
        <w:t>No additional secured borrowing above ₹1 Cr without bank's prior written consent.</w:t>
      </w:r>
    </w:p>
    <w:p>
      <w:pPr>
        <w:pStyle w:val="ListBullet"/>
      </w:pPr>
      <w:r>
        <w:rPr>
          <w:sz w:val="20"/>
        </w:rPr>
        <w:t>Promoter shareholding to remain above 51% throughout the loan tenure.</w:t>
      </w:r>
    </w:p>
    <w:p>
      <w:pPr>
        <w:pStyle w:val="ListBullet"/>
      </w:pPr>
      <w:r>
        <w:rPr>
          <w:sz w:val="20"/>
        </w:rPr>
        <w:t>Half-yearly internal audit report to be submitted to the bank.</w:t>
      </w:r>
    </w:p>
    <w:p>
      <w:pPr>
        <w:pStyle w:val="ListBullet"/>
      </w:pPr>
      <w:r>
        <w:rPr>
          <w:sz w:val="20"/>
        </w:rPr>
        <w:t>Annual site visit by bank credit officer — access to books and records to be provided.</w:t>
      </w:r>
    </w:p>
    <w:p/>
    <w:p>
      <w:pPr>
        <w:spacing w:before="80" w:after="120" w:line="280" w:lineRule="exact"/>
      </w:pPr>
      <w:r>
        <w:rPr>
          <w:sz w:val="20"/>
        </w:rPr>
        <w:t>PART A: RISK IDENTIFICATION AND MITIGATION</w:t>
        <w:br/>
        <w:br/>
        <w:t>Low Current Ratio — The current ratio is 0.00x, significantly below the industry benchmark of 1.33x and the RBI minimum of 1.25x — mitigated by the proposed additional collateral to bring total coverage to ≥1.50x, or written acceptance of reduced limit of ₹0.00 Cr. Low ICR — The Interest Coverage Ratio (ICR) is 0.00x, below the industry benchmark of 3.00x and the RBI minimum of 2.00x — mitigated by the projected DSCR of 2.25x, indicating sufficient cash flow to service debt obligations. The residual risk level is considered moderate, contingent upon adherence to financial covenants and provision of adequate collateral.</w:t>
        <w:br/>
        <w:br/>
        <w:t>PART B: CONDITIONS PRECEDENT IN PROSE</w:t>
        <w:br/>
        <w:br/>
        <w:t>Prior to disbursement, Test Co Pvt Ltd shall be required to execute all security documents, including the loan agreement, hypothecation deed, and mortgage deed. The borrower shall also submit the latest audited financial statements within six months of the year-end, along with a board resolution authorising the borrowing and security creation. Furthermore, proof of insurance on all hypothecated and mortgaged assets, naming the bank as beneficiary, must be provided. Additional collateral must be furnished to bring the total coverage to ≥1.50x, or written acceptance of a reduced limit of ₹0.00 Cr is required. Finally, a certificate from existing lenders confirming no NPA or overdue classification must be submitted.</w:t>
        <w:br/>
        <w:br/>
        <w:t>PART C: POST-DISBURSEMENT COVENANTS IN PROSE</w:t>
        <w:br/>
        <w:br/>
        <w:t>Following disbursement, Test Co Pvt Ltd shall submit annual audited financial statements within 90 days of the financial year-end and quarterly stock and debtors statements for working capital monitoring. The borrower must maintain a Debt Service Coverage Ratio (DSCR) of ≥1.25x, tested annually from audited accounts. Immediate notification to the bank is required for any litigation, regulatory action, or adverse news event. No additional secured borrowing above ₹1 Cr is permitted without the bank's prior written consent, and the promoter shareholding must remain above 51% throughout the loan tenure. Half-yearly internal audit reports must be submitted to the bank, and an annual site visit by a bank credit officer, with access to books and records, is required. Breach of any covenant shall constitute an event of default entitling the bank to recall the facility.</w:t>
        <w:br/>
        <w:br/>
        <w:t>PART D: OVERALL RISK VERDICT</w:t>
        <w:br/>
        <w:br/>
        <w:t>The overall risk rating for this credit is moderate, reflecting the identified financial weaknesses. The mitigants, including additional collateral and financial covenants, are deemed sufficient to manage the identified risks, given the composite score of 84/100.</w:t>
      </w:r>
    </w:p>
    <w:p/>
    <w:p>
      <w:r>
        <w:br w:type="page"/>
      </w:r>
    </w:p>
    <w:tbl>
      <w:tblPr>
        <w:tblW w:type="auto" w:w="0"/>
        <w:tblLook w:firstColumn="1" w:firstRow="1" w:lastColumn="0" w:lastRow="0" w:noHBand="0" w:noVBand="1" w:val="04A0"/>
      </w:tblPr>
      <w:tblGrid>
        <w:gridCol w:w="9972"/>
      </w:tblGrid>
      <w:tr>
        <w:tc>
          <w:tcPr>
            <w:tcW w:type="dxa" w:w="9972"/>
            <w:shd w:fill="8B0000"/>
          </w:tcPr>
          <w:p>
            <w:pPr>
              <w:spacing w:before="40" w:after="40"/>
              <w:jc w:val="left"/>
            </w:pPr>
            <w:r>
              <w:rPr>
                <w:b/>
                <w:color w:val="FFFFFF"/>
                <w:sz w:val="24"/>
              </w:rPr>
              <w:t>SECTION 10: DECISION RATIONALE &amp; EXPLAINABILITY (AI Scoring Audit Trail)</w:t>
            </w:r>
          </w:p>
        </w:tc>
      </w:tr>
    </w:tbl>
    <w:p/>
    <w:p>
      <w:pPr>
        <w:spacing w:before="80" w:after="40"/>
      </w:pPr>
      <w:r>
        <w:rPr>
          <w:b/>
          <w:color w:val="2C3E50"/>
          <w:sz w:val="24"/>
        </w:rPr>
        <w:t>10.1 — Eight-Dimension Weighted Scoring Model</w:t>
      </w:r>
    </w:p>
    <w:p>
      <w:pPr>
        <w:spacing w:after="120"/>
      </w:pPr>
      <w:r>
        <w:rPr>
          <w:sz w:val="18"/>
        </w:rPr>
        <w:t>The Intelli-Credit AI scoring model uses a weighted composite across 8 dimensions drawn from all three pillars (Document Extraction, Research Intelligence, Primary Field Insight). A sigmoid normalisation function is applied to prevent sharp cliff effects at score boundaries.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8B0000"/>
          </w:tcPr>
          <w:p>
            <w:pPr>
              <w:spacing w:before="60" w:after="60"/>
            </w:pPr>
            <w:r>
              <w:rPr>
                <w:b/>
                <w:color w:val="FFFFFF"/>
                <w:sz w:val="18"/>
              </w:rPr>
              <w:t>Dimension</w:t>
            </w:r>
          </w:p>
        </w:tc>
        <w:tc>
          <w:tcPr>
            <w:tcW w:type="dxa" w:w="1662"/>
            <w:shd w:val="clear" w:color="auto" w:fill="8B0000"/>
          </w:tcPr>
          <w:p>
            <w:pPr>
              <w:spacing w:before="60" w:after="60"/>
            </w:pPr>
            <w:r>
              <w:rPr>
                <w:b/>
                <w:color w:val="FFFFFF"/>
                <w:sz w:val="18"/>
              </w:rPr>
              <w:t>Weight</w:t>
            </w:r>
          </w:p>
        </w:tc>
        <w:tc>
          <w:tcPr>
            <w:tcW w:type="dxa" w:w="1662"/>
            <w:shd w:val="clear" w:color="auto" w:fill="8B0000"/>
          </w:tcPr>
          <w:p>
            <w:pPr>
              <w:spacing w:before="60" w:after="60"/>
            </w:pPr>
            <w:r>
              <w:rPr>
                <w:b/>
                <w:color w:val="FFFFFF"/>
                <w:sz w:val="18"/>
              </w:rPr>
              <w:t>Score /100</w:t>
            </w:r>
          </w:p>
        </w:tc>
        <w:tc>
          <w:tcPr>
            <w:tcW w:type="dxa" w:w="1662"/>
            <w:shd w:val="clear" w:color="auto" w:fill="8B0000"/>
          </w:tcPr>
          <w:p>
            <w:pPr>
              <w:spacing w:before="60" w:after="60"/>
            </w:pPr>
            <w:r>
              <w:rPr>
                <w:b/>
                <w:color w:val="FFFFFF"/>
                <w:sz w:val="18"/>
              </w:rPr>
              <w:t>Weighted</w:t>
            </w:r>
          </w:p>
        </w:tc>
        <w:tc>
          <w:tcPr>
            <w:tcW w:type="dxa" w:w="1662"/>
            <w:shd w:val="clear" w:color="auto" w:fill="8B0000"/>
          </w:tcPr>
          <w:p>
            <w:pPr>
              <w:spacing w:before="60" w:after="60"/>
            </w:pPr>
            <w:r>
              <w:rPr>
                <w:b/>
                <w:color w:val="FFFFFF"/>
                <w:sz w:val="18"/>
              </w:rPr>
              <w:t>Color</w:t>
            </w:r>
          </w:p>
        </w:tc>
        <w:tc>
          <w:tcPr>
            <w:tcW w:type="dxa" w:w="1662"/>
            <w:shd w:val="clear" w:color="auto" w:fill="8B0000"/>
          </w:tcPr>
          <w:p>
            <w:pPr>
              <w:spacing w:before="60" w:after="60"/>
            </w:pPr>
            <w:r>
              <w:rPr>
                <w:b/>
                <w:color w:val="FFFFFF"/>
                <w:sz w:val="18"/>
              </w:rPr>
              <w:t>Source</w:t>
            </w:r>
          </w:p>
        </w:tc>
      </w:tr>
      <w:tr>
        <w:tc>
          <w:tcPr>
            <w:tcW w:type="dxa" w:w="1662"/>
            <w:shd w:val="clear" w:color="auto" w:fill="F4F6F7"/>
          </w:tcPr>
          <w:p>
            <w:pPr>
              <w:spacing w:before="60" w:after="60"/>
            </w:pPr>
            <w:r>
              <w:t>Character</w:t>
            </w:r>
          </w:p>
        </w:tc>
        <w:tc>
          <w:tcPr>
            <w:tcW w:type="dxa" w:w="1662"/>
            <w:shd w:val="clear" w:color="auto" w:fill="F4F6F7"/>
          </w:tcPr>
          <w:p>
            <w:pPr>
              <w:spacing w:before="60" w:after="60"/>
            </w:pPr>
            <w:r>
              <w:t>20%</w:t>
            </w:r>
          </w:p>
        </w:tc>
        <w:tc>
          <w:tcPr>
            <w:tcW w:type="dxa" w:w="1662"/>
            <w:shd w:val="clear" w:color="auto" w:fill="F4F6F7"/>
          </w:tcPr>
          <w:p>
            <w:pPr>
              <w:spacing w:before="60" w:after="60"/>
            </w:pPr>
            <w:r>
              <w:t>100/100</w:t>
            </w:r>
          </w:p>
        </w:tc>
        <w:tc>
          <w:tcPr>
            <w:tcW w:type="dxa" w:w="1662"/>
            <w:shd w:val="clear" w:color="auto" w:fill="F4F6F7"/>
          </w:tcPr>
          <w:p>
            <w:pPr>
              <w:spacing w:before="60" w:after="60"/>
            </w:pPr>
            <w:r>
              <w:t>20.0</w:t>
            </w:r>
          </w:p>
        </w:tc>
        <w:tc>
          <w:tcPr>
            <w:tcW w:type="dxa" w:w="1662"/>
            <w:shd w:val="clear" w:color="auto" w:fill="F4F6F7"/>
          </w:tcPr>
          <w:p>
            <w:pPr>
              <w:spacing w:before="60" w:after="60"/>
            </w:pPr>
            <w:r>
              <w:t>GREEN</w:t>
            </w:r>
          </w:p>
        </w:tc>
        <w:tc>
          <w:tcPr>
            <w:tcW w:type="dxa" w:w="1662"/>
            <w:shd w:val="clear" w:color="auto" w:fill="F4F6F7"/>
          </w:tcPr>
          <w:p>
            <w:pPr>
              <w:spacing w:before="60" w:after="60"/>
            </w:pPr>
            <w:r>
              <w:t>Research Agent</w:t>
            </w:r>
          </w:p>
        </w:tc>
      </w:tr>
      <w:tr>
        <w:tc>
          <w:tcPr>
            <w:tcW w:type="dxa" w:w="1662"/>
          </w:tcPr>
          <w:p>
            <w:pPr>
              <w:spacing w:before="60" w:after="60"/>
            </w:pPr>
            <w:r>
              <w:t>Capacity</w:t>
            </w:r>
          </w:p>
        </w:tc>
        <w:tc>
          <w:tcPr>
            <w:tcW w:type="dxa" w:w="1662"/>
          </w:tcPr>
          <w:p>
            <w:pPr>
              <w:spacing w:before="60" w:after="60"/>
            </w:pPr>
            <w:r>
              <w:t>25%</w:t>
            </w:r>
          </w:p>
        </w:tc>
        <w:tc>
          <w:tcPr>
            <w:tcW w:type="dxa" w:w="1662"/>
          </w:tcPr>
          <w:p>
            <w:pPr>
              <w:spacing w:before="60" w:after="60"/>
            </w:pPr>
            <w:r>
              <w:t>68/100</w:t>
            </w:r>
          </w:p>
        </w:tc>
        <w:tc>
          <w:tcPr>
            <w:tcW w:type="dxa" w:w="1662"/>
          </w:tcPr>
          <w:p>
            <w:pPr>
              <w:spacing w:before="60" w:after="60"/>
            </w:pPr>
            <w:r>
              <w:t>17.0</w:t>
            </w:r>
          </w:p>
        </w:tc>
        <w:tc>
          <w:tcPr>
            <w:tcW w:type="dxa" w:w="1662"/>
          </w:tcPr>
          <w:p>
            <w:pPr>
              <w:spacing w:before="60" w:after="60"/>
            </w:pPr>
            <w:r>
              <w:t>AMBER</w:t>
            </w:r>
          </w:p>
        </w:tc>
        <w:tc>
          <w:tcPr>
            <w:tcW w:type="dxa" w:w="1662"/>
          </w:tcPr>
          <w:p>
            <w:pPr>
              <w:spacing w:before="60" w:after="60"/>
            </w:pPr>
            <w:r>
              <w:t>Financial Extraction</w:t>
            </w:r>
          </w:p>
        </w:tc>
      </w:tr>
      <w:tr>
        <w:tc>
          <w:tcPr>
            <w:tcW w:type="dxa" w:w="1662"/>
            <w:shd w:val="clear" w:color="auto" w:fill="F4F6F7"/>
          </w:tcPr>
          <w:p>
            <w:pPr>
              <w:spacing w:before="60" w:after="60"/>
            </w:pPr>
            <w:r>
              <w:t>Capital</w:t>
            </w:r>
          </w:p>
        </w:tc>
        <w:tc>
          <w:tcPr>
            <w:tcW w:type="dxa" w:w="1662"/>
            <w:shd w:val="clear" w:color="auto" w:fill="F4F6F7"/>
          </w:tcPr>
          <w:p>
            <w:pPr>
              <w:spacing w:before="60" w:after="60"/>
            </w:pPr>
            <w:r>
              <w:t>20%</w:t>
            </w:r>
          </w:p>
        </w:tc>
        <w:tc>
          <w:tcPr>
            <w:tcW w:type="dxa" w:w="1662"/>
            <w:shd w:val="clear" w:color="auto" w:fill="F4F6F7"/>
          </w:tcPr>
          <w:p>
            <w:pPr>
              <w:spacing w:before="60" w:after="60"/>
            </w:pPr>
            <w:r>
              <w:t>62/100</w:t>
            </w:r>
          </w:p>
        </w:tc>
        <w:tc>
          <w:tcPr>
            <w:tcW w:type="dxa" w:w="1662"/>
            <w:shd w:val="clear" w:color="auto" w:fill="F4F6F7"/>
          </w:tcPr>
          <w:p>
            <w:pPr>
              <w:spacing w:before="60" w:after="60"/>
            </w:pPr>
            <w:r>
              <w:t>12.4</w:t>
            </w:r>
          </w:p>
        </w:tc>
        <w:tc>
          <w:tcPr>
            <w:tcW w:type="dxa" w:w="1662"/>
            <w:shd w:val="clear" w:color="auto" w:fill="F4F6F7"/>
          </w:tcPr>
          <w:p>
            <w:pPr>
              <w:spacing w:before="60" w:after="60"/>
            </w:pPr>
            <w:r>
              <w:t>AMBER</w:t>
            </w:r>
          </w:p>
        </w:tc>
        <w:tc>
          <w:tcPr>
            <w:tcW w:type="dxa" w:w="1662"/>
            <w:shd w:val="clear" w:color="auto" w:fill="F4F6F7"/>
          </w:tcPr>
          <w:p>
            <w:pPr>
              <w:spacing w:before="60" w:after="60"/>
            </w:pPr>
            <w:r>
              <w:t>Financial Extraction</w:t>
            </w:r>
          </w:p>
        </w:tc>
      </w:tr>
      <w:tr>
        <w:tc>
          <w:tcPr>
            <w:tcW w:type="dxa" w:w="1662"/>
          </w:tcPr>
          <w:p>
            <w:pPr>
              <w:spacing w:before="60" w:after="60"/>
            </w:pPr>
            <w:r>
              <w:t>Collateral</w:t>
            </w:r>
          </w:p>
        </w:tc>
        <w:tc>
          <w:tcPr>
            <w:tcW w:type="dxa" w:w="1662"/>
          </w:tcPr>
          <w:p>
            <w:pPr>
              <w:spacing w:before="60" w:after="60"/>
            </w:pPr>
            <w:r>
              <w:t>15%</w:t>
            </w:r>
          </w:p>
        </w:tc>
        <w:tc>
          <w:tcPr>
            <w:tcW w:type="dxa" w:w="1662"/>
          </w:tcPr>
          <w:p>
            <w:pPr>
              <w:spacing w:before="60" w:after="60"/>
            </w:pPr>
            <w:r>
              <w:t>53/100</w:t>
            </w:r>
          </w:p>
        </w:tc>
        <w:tc>
          <w:tcPr>
            <w:tcW w:type="dxa" w:w="1662"/>
          </w:tcPr>
          <w:p>
            <w:pPr>
              <w:spacing w:before="60" w:after="60"/>
            </w:pPr>
            <w:r>
              <w:t>8.0</w:t>
            </w:r>
          </w:p>
        </w:tc>
        <w:tc>
          <w:tcPr>
            <w:tcW w:type="dxa" w:w="1662"/>
          </w:tcPr>
          <w:p>
            <w:pPr>
              <w:spacing w:before="60" w:after="60"/>
            </w:pPr>
            <w:r>
              <w:t>AMBER</w:t>
            </w:r>
          </w:p>
        </w:tc>
        <w:tc>
          <w:tcPr>
            <w:tcW w:type="dxa" w:w="1662"/>
          </w:tcPr>
          <w:p>
            <w:pPr>
              <w:spacing w:before="60" w:after="60"/>
            </w:pPr>
            <w:r>
              <w:t>Financial Extraction</w:t>
            </w:r>
          </w:p>
        </w:tc>
      </w:tr>
      <w:tr>
        <w:tc>
          <w:tcPr>
            <w:tcW w:type="dxa" w:w="1662"/>
            <w:shd w:val="clear" w:color="auto" w:fill="F4F6F7"/>
          </w:tcPr>
          <w:p>
            <w:pPr>
              <w:spacing w:before="60" w:after="60"/>
            </w:pPr>
            <w:r>
              <w:t>Conditions</w:t>
            </w:r>
          </w:p>
        </w:tc>
        <w:tc>
          <w:tcPr>
            <w:tcW w:type="dxa" w:w="1662"/>
            <w:shd w:val="clear" w:color="auto" w:fill="F4F6F7"/>
          </w:tcPr>
          <w:p>
            <w:pPr>
              <w:spacing w:before="60" w:after="60"/>
            </w:pPr>
            <w:r>
              <w:t>10%</w:t>
            </w:r>
          </w:p>
        </w:tc>
        <w:tc>
          <w:tcPr>
            <w:tcW w:type="dxa" w:w="1662"/>
            <w:shd w:val="clear" w:color="auto" w:fill="F4F6F7"/>
          </w:tcPr>
          <w:p>
            <w:pPr>
              <w:spacing w:before="60" w:after="60"/>
            </w:pPr>
            <w:r>
              <w:t>80/100</w:t>
            </w:r>
          </w:p>
        </w:tc>
        <w:tc>
          <w:tcPr>
            <w:tcW w:type="dxa" w:w="1662"/>
            <w:shd w:val="clear" w:color="auto" w:fill="F4F6F7"/>
          </w:tcPr>
          <w:p>
            <w:pPr>
              <w:spacing w:before="60" w:after="60"/>
            </w:pPr>
            <w:r>
              <w:t>8.0</w:t>
            </w:r>
          </w:p>
        </w:tc>
        <w:tc>
          <w:tcPr>
            <w:tcW w:type="dxa" w:w="1662"/>
            <w:shd w:val="clear" w:color="auto" w:fill="F4F6F7"/>
          </w:tcPr>
          <w:p>
            <w:pPr>
              <w:spacing w:before="60" w:after="60"/>
            </w:pPr>
            <w:r>
              <w:t>GREEN</w:t>
            </w:r>
          </w:p>
        </w:tc>
        <w:tc>
          <w:tcPr>
            <w:tcW w:type="dxa" w:w="1662"/>
            <w:shd w:val="clear" w:color="auto" w:fill="F4F6F7"/>
          </w:tcPr>
          <w:p>
            <w:pPr>
              <w:spacing w:before="60" w:after="60"/>
            </w:pPr>
            <w:r>
              <w:t>Research Agent</w:t>
            </w:r>
          </w:p>
        </w:tc>
      </w:tr>
      <w:tr>
        <w:tc>
          <w:tcPr>
            <w:tcW w:type="dxa" w:w="1662"/>
          </w:tcPr>
          <w:p>
            <w:pPr>
              <w:spacing w:before="60" w:after="60"/>
            </w:pPr>
            <w:r>
              <w:t>GST Quality</w:t>
            </w:r>
          </w:p>
        </w:tc>
        <w:tc>
          <w:tcPr>
            <w:tcW w:type="dxa" w:w="1662"/>
          </w:tcPr>
          <w:p>
            <w:pPr>
              <w:spacing w:before="60" w:after="60"/>
            </w:pPr>
            <w:r>
              <w:t>5%</w:t>
            </w:r>
          </w:p>
        </w:tc>
        <w:tc>
          <w:tcPr>
            <w:tcW w:type="dxa" w:w="1662"/>
          </w:tcPr>
          <w:p>
            <w:pPr>
              <w:spacing w:before="60" w:after="60"/>
            </w:pPr>
            <w:r>
              <w:t>75/100</w:t>
            </w:r>
          </w:p>
        </w:tc>
        <w:tc>
          <w:tcPr>
            <w:tcW w:type="dxa" w:w="1662"/>
          </w:tcPr>
          <w:p>
            <w:pPr>
              <w:spacing w:before="60" w:after="60"/>
            </w:pPr>
            <w:r>
              <w:t>3.8</w:t>
            </w:r>
          </w:p>
        </w:tc>
        <w:tc>
          <w:tcPr>
            <w:tcW w:type="dxa" w:w="1662"/>
          </w:tcPr>
          <w:p>
            <w:pPr>
              <w:spacing w:before="60" w:after="60"/>
            </w:pPr>
            <w:r>
              <w:t>GREEN</w:t>
            </w:r>
          </w:p>
        </w:tc>
        <w:tc>
          <w:tcPr>
            <w:tcW w:type="dxa" w:w="1662"/>
          </w:tcPr>
          <w:p>
            <w:pPr>
              <w:spacing w:before="60" w:after="60"/>
            </w:pPr>
            <w:r>
              <w:t>Financial Extraction</w:t>
            </w:r>
          </w:p>
        </w:tc>
      </w:tr>
      <w:tr>
        <w:tc>
          <w:tcPr>
            <w:tcW w:type="dxa" w:w="1662"/>
            <w:shd w:val="clear" w:color="auto" w:fill="F4F6F7"/>
          </w:tcPr>
          <w:p>
            <w:pPr>
              <w:spacing w:before="60" w:after="60"/>
            </w:pPr>
            <w:r>
              <w:t>Litigation Risk</w:t>
            </w:r>
          </w:p>
        </w:tc>
        <w:tc>
          <w:tcPr>
            <w:tcW w:type="dxa" w:w="1662"/>
            <w:shd w:val="clear" w:color="auto" w:fill="F4F6F7"/>
          </w:tcPr>
          <w:p>
            <w:pPr>
              <w:spacing w:before="60" w:after="60"/>
            </w:pPr>
            <w:r>
              <w:t>3%</w:t>
            </w:r>
          </w:p>
        </w:tc>
        <w:tc>
          <w:tcPr>
            <w:tcW w:type="dxa" w:w="1662"/>
            <w:shd w:val="clear" w:color="auto" w:fill="F4F6F7"/>
          </w:tcPr>
          <w:p>
            <w:pPr>
              <w:spacing w:before="60" w:after="60"/>
            </w:pPr>
            <w:r>
              <w:t>100/100</w:t>
            </w:r>
          </w:p>
        </w:tc>
        <w:tc>
          <w:tcPr>
            <w:tcW w:type="dxa" w:w="1662"/>
            <w:shd w:val="clear" w:color="auto" w:fill="F4F6F7"/>
          </w:tcPr>
          <w:p>
            <w:pPr>
              <w:spacing w:before="60" w:after="60"/>
            </w:pPr>
            <w:r>
              <w:t>3.0</w:t>
            </w:r>
          </w:p>
        </w:tc>
        <w:tc>
          <w:tcPr>
            <w:tcW w:type="dxa" w:w="1662"/>
            <w:shd w:val="clear" w:color="auto" w:fill="F4F6F7"/>
          </w:tcPr>
          <w:p>
            <w:pPr>
              <w:spacing w:before="60" w:after="60"/>
            </w:pPr>
            <w:r>
              <w:t>GREEN</w:t>
            </w:r>
          </w:p>
        </w:tc>
        <w:tc>
          <w:tcPr>
            <w:tcW w:type="dxa" w:w="1662"/>
            <w:shd w:val="clear" w:color="auto" w:fill="F4F6F7"/>
          </w:tcPr>
          <w:p>
            <w:pPr>
              <w:spacing w:before="60" w:after="60"/>
            </w:pPr>
            <w:r>
              <w:t>Research Agent</w:t>
            </w:r>
          </w:p>
        </w:tc>
      </w:tr>
      <w:tr>
        <w:tc>
          <w:tcPr>
            <w:tcW w:type="dxa" w:w="1662"/>
          </w:tcPr>
          <w:p>
            <w:pPr>
              <w:spacing w:before="60" w:after="60"/>
            </w:pPr>
            <w:r>
              <w:t>MCA Compliance</w:t>
            </w:r>
          </w:p>
        </w:tc>
        <w:tc>
          <w:tcPr>
            <w:tcW w:type="dxa" w:w="1662"/>
          </w:tcPr>
          <w:p>
            <w:pPr>
              <w:spacing w:before="60" w:after="60"/>
            </w:pPr>
            <w:r>
              <w:t>2%</w:t>
            </w:r>
          </w:p>
        </w:tc>
        <w:tc>
          <w:tcPr>
            <w:tcW w:type="dxa" w:w="1662"/>
          </w:tcPr>
          <w:p>
            <w:pPr>
              <w:spacing w:before="60" w:after="60"/>
            </w:pPr>
            <w:r>
              <w:t>100/100</w:t>
            </w:r>
          </w:p>
        </w:tc>
        <w:tc>
          <w:tcPr>
            <w:tcW w:type="dxa" w:w="1662"/>
          </w:tcPr>
          <w:p>
            <w:pPr>
              <w:spacing w:before="60" w:after="60"/>
            </w:pPr>
            <w:r>
              <w:t>2.0</w:t>
            </w:r>
          </w:p>
        </w:tc>
        <w:tc>
          <w:tcPr>
            <w:tcW w:type="dxa" w:w="1662"/>
          </w:tcPr>
          <w:p>
            <w:pPr>
              <w:spacing w:before="60" w:after="60"/>
            </w:pPr>
            <w:r>
              <w:t>GREEN</w:t>
            </w:r>
          </w:p>
        </w:tc>
        <w:tc>
          <w:tcPr>
            <w:tcW w:type="dxa" w:w="1662"/>
          </w:tcPr>
          <w:p>
            <w:pPr>
              <w:spacing w:before="60" w:after="60"/>
            </w:pPr>
            <w:r>
              <w:t>Research Agent</w:t>
            </w:r>
          </w:p>
        </w:tc>
      </w:tr>
    </w:tbl>
    <w:p/>
    <w:p>
      <w:pPr>
        <w:spacing w:before="80" w:after="40"/>
      </w:pPr>
      <w:r>
        <w:rPr>
          <w:b/>
          <w:color w:val="2C3E50"/>
          <w:sz w:val="24"/>
        </w:rPr>
        <w:t>10.2 — Composite Score Derivation</w:t>
      </w:r>
    </w:p>
    <w:tbl>
      <w:tblPr>
        <w:tblStyle w:val="TableGrid"/>
        <w:tblW w:type="auto" w:w="0"/>
        <w:tblLook w:firstColumn="1" w:firstRow="1" w:lastColumn="0" w:lastRow="0" w:noHBand="0" w:noVBand="1" w:val="04A0"/>
      </w:tblPr>
      <w:tblGrid>
        <w:gridCol w:w="9972"/>
      </w:tblGrid>
      <w:tr>
        <w:tc>
          <w:tcPr>
            <w:tcW w:type="dxa" w:w="9972"/>
            <w:shd w:val="clear" w:color="auto" w:fill="F4F6F7"/>
          </w:tcPr>
          <w:p>
            <w:pPr>
              <w:spacing w:before="80" w:after="80"/>
            </w:pPr>
            <w:r>
              <w:rPr>
                <w:rFonts w:ascii="Courier New" w:hAnsi="Courier New"/>
                <w:sz w:val="16"/>
              </w:rPr>
              <w:t>COMPOSITE SCORE DERIVATION  [ML-Weighted Scoring Model + Primary Insight]</w:t>
              <w:br/>
              <w:t>────────────────────────────────────────────────────────────────────────</w:t>
              <w:br/>
              <w:t xml:space="preserve">  Character              (  20%):  100/100  ×  0.20  =   20.0 pts  [GREEN]</w:t>
              <w:br/>
              <w:t xml:space="preserve">  Capacity               (  25%):   68/100  ×  0.25  =   17.0 pts  [AMBER]</w:t>
              <w:br/>
              <w:t xml:space="preserve">  Capital                (  20%):   62/100  ×  0.20  =   12.4 pts  [AMBER]</w:t>
              <w:br/>
              <w:t xml:space="preserve">  Collateral             (  15%):   53/100  ×  0.15  =    8.0 pts  [AMBER]</w:t>
              <w:br/>
              <w:t xml:space="preserve">  Conditions             (  10%):   80/100  ×  0.10  =    8.0 pts  [GREEN]</w:t>
              <w:br/>
              <w:t xml:space="preserve">  GST Quality            (   5%):   75/100  ×  0.05  =    3.8 pts  [GREEN]</w:t>
              <w:br/>
              <w:t xml:space="preserve">  Litigation Risk        (   3%):  100/100  ×  0.03  =    3.0 pts  [GREEN]</w:t>
              <w:br/>
              <w:t xml:space="preserve">  MCA Compliance         (   2%):  100/100  ×  0.02  =    2.0 pts  [GREEN]</w:t>
              <w:br/>
              <w:t>────────────────────────────────────────────────────────────────────────</w:t>
              <w:br/>
              <w:t xml:space="preserve">  Raw Weighted Sum (sigmoid-normalised): 84/100</w:t>
              <w:br/>
              <w:t xml:space="preserve">  Primary Insight Adjustment:           0 pts  (no field data entered)</w:t>
              <w:br/>
              <w:t xml:space="preserve">  ──────────────────────────────────────────────</w:t>
              <w:br/>
              <w:t xml:space="preserve">  FINAL COMPOSITE SCORE:                84/100  →  GREEN</w:t>
              <w:br/>
              <w:br/>
              <w:t xml:space="preserve">  ✅ Key Strengths:  Character (100/100), Capacity (68/100)</w:t>
              <w:br/>
              <w:t xml:space="preserve">  ⚠️  Key Concerns:   MCA Compliance (100/100), Litigation Risk (100/100)</w:t>
            </w:r>
          </w:p>
        </w:tc>
      </w:tr>
    </w:tbl>
    <w:p/>
    <w:p>
      <w:pPr>
        <w:spacing w:before="80" w:after="40"/>
      </w:pPr>
      <w:r>
        <w:rPr>
          <w:b/>
          <w:color w:val="2C3E50"/>
          <w:sz w:val="24"/>
        </w:rPr>
        <w:t>10.5 — AI Decision Rationale (Gemini 2.0 Flash Analysis)</w:t>
      </w:r>
    </w:p>
    <w:p>
      <w:pPr>
        <w:spacing w:before="80" w:after="120" w:line="280" w:lineRule="exact"/>
      </w:pPr>
      <w:r>
        <w:rPr>
          <w:sz w:val="20"/>
        </w:rPr>
        <w:t>DECISION RATIONALE</w:t>
        <w:br/>
        <w:br/>
        <w:t>The Credit Committee recommends APPROVAL of a CC Limit of ₹0.00 Cr (Zero Rupees), against a requested amount of ₹2.50 Cr, at an interest rate of 9.50% per annum. This conservative recommendation is primarily driven by the absence of collateral coverage, with a Collateral Coverage (Market) ratio of 0.00x, despite an otherwise strong composite score of 84/100, placing the company in the GREEN risk band.</w:t>
        <w:br/>
        <w:br/>
        <w:t>Test Co Pvt Ltd demonstrates positive financial performance, as evidenced by a Revenue CAGR of 12.0%. The Debt Service Coverage Ratio (DSCR) stands at a healthy 2.25x, indicating a sufficient ability to service debt obligations. GST Filing Compliance is also strong at 91.7%, reflecting responsible financial management. However, the Interest Coverage Ratio (ICR) is reported as 0.00x, which warrants monitoring and requires further investigation to understand the underlying reasons for this anomaly. The Capacity Score of 68/100 and Capital Score of 62/100 suggest moderate strength in these areas.</w:t>
        <w:br/>
        <w:br/>
        <w:t>Research intelligence provides a positive assessment of the company's character and operating environment. The Character Score is a perfect 100/100, and the Conditions Score is a robust 80/100. Checks against the RBI Wilful Defaulter database and MCA records revealed no adverse flags. Furthermore, a search of eCourts indicated no pending litigation against the company, and no adverse news signals were detected. This strong research profile partially offsets the concern regarding the lack of collateral.</w:t>
        <w:br/>
        <w:br/>
        <w:t>The absence of qualitative field data entered by the credit officer limits the ability to incorporate on-the-ground insights into the credit assessment. While the scoring engine and document extraction provide quantitative metrics, qualitative observations could have provided valuable context and potentially influenced the final recommended amount. Given the zero collateral coverage, the credit committee has adopted a conservative approach, recommending a zero CC Limit despite the positive composite score and strong research findings. The interest rate is set at 9.50% p.a. Key conditions include regular monitoring of the ICR and a requirement for the company to provide additional collateral to support a future increase in the CC Limit.</w:t>
      </w:r>
    </w:p>
    <w:p>
      <w:pPr>
        <w:spacing w:before="80" w:after="40"/>
      </w:pPr>
      <w:r>
        <w:rPr>
          <w:b/>
          <w:color w:val="2C3E50"/>
          <w:sz w:val="24"/>
        </w:rPr>
        <w:t>10.6 — Five Cs of Credit — Final Summary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8B0000"/>
          </w:tcPr>
          <w:p>
            <w:pPr>
              <w:spacing w:before="60" w:after="60"/>
            </w:pPr>
            <w:r>
              <w:rPr>
                <w:b/>
                <w:color w:val="FFFFFF"/>
                <w:sz w:val="18"/>
              </w:rPr>
              <w:t>C</w:t>
            </w:r>
          </w:p>
        </w:tc>
        <w:tc>
          <w:tcPr>
            <w:tcW w:type="dxa" w:w="1994"/>
            <w:shd w:val="clear" w:color="auto" w:fill="8B0000"/>
          </w:tcPr>
          <w:p>
            <w:pPr>
              <w:spacing w:before="60" w:after="60"/>
            </w:pPr>
            <w:r>
              <w:rPr>
                <w:b/>
                <w:color w:val="FFFFFF"/>
                <w:sz w:val="18"/>
              </w:rPr>
              <w:t>Dimension</w:t>
            </w:r>
          </w:p>
        </w:tc>
        <w:tc>
          <w:tcPr>
            <w:tcW w:type="dxa" w:w="1994"/>
            <w:shd w:val="clear" w:color="auto" w:fill="8B0000"/>
          </w:tcPr>
          <w:p>
            <w:pPr>
              <w:spacing w:before="60" w:after="60"/>
            </w:pPr>
            <w:r>
              <w:rPr>
                <w:b/>
                <w:color w:val="FFFFFF"/>
                <w:sz w:val="18"/>
              </w:rPr>
              <w:t>Score /100</w:t>
            </w:r>
          </w:p>
        </w:tc>
        <w:tc>
          <w:tcPr>
            <w:tcW w:type="dxa" w:w="1994"/>
            <w:shd w:val="clear" w:color="auto" w:fill="8B0000"/>
          </w:tcPr>
          <w:p>
            <w:pPr>
              <w:spacing w:before="60" w:after="60"/>
            </w:pPr>
            <w:r>
              <w:rPr>
                <w:b/>
                <w:color w:val="FFFFFF"/>
                <w:sz w:val="18"/>
              </w:rPr>
              <w:t>Band</w:t>
            </w:r>
          </w:p>
        </w:tc>
        <w:tc>
          <w:tcPr>
            <w:tcW w:type="dxa" w:w="1994"/>
            <w:shd w:val="clear" w:color="auto" w:fill="8B0000"/>
          </w:tcPr>
          <w:p>
            <w:pPr>
              <w:spacing w:before="60" w:after="60"/>
            </w:pPr>
            <w:r>
              <w:rPr>
                <w:b/>
                <w:color w:val="FFFFFF"/>
                <w:sz w:val="18"/>
              </w:rPr>
              <w:t>Weight in Model</w:t>
            </w:r>
          </w:p>
        </w:tc>
      </w:tr>
      <w:tr>
        <w:tc>
          <w:tcPr>
            <w:tcW w:type="dxa" w:w="1994"/>
            <w:shd w:val="clear" w:color="auto" w:fill="F4F6F7"/>
          </w:tcPr>
          <w:p>
            <w:pPr>
              <w:spacing w:before="60" w:after="60"/>
            </w:pPr>
            <w:r>
              <w:t>C1</w:t>
            </w:r>
          </w:p>
        </w:tc>
        <w:tc>
          <w:tcPr>
            <w:tcW w:type="dxa" w:w="1994"/>
            <w:shd w:val="clear" w:color="auto" w:fill="F4F6F7"/>
          </w:tcPr>
          <w:p>
            <w:pPr>
              <w:spacing w:before="60" w:after="60"/>
            </w:pPr>
            <w:r>
              <w:t>Character</w:t>
            </w:r>
          </w:p>
        </w:tc>
        <w:tc>
          <w:tcPr>
            <w:tcW w:type="dxa" w:w="1994"/>
            <w:shd w:val="clear" w:color="auto" w:fill="F4F6F7"/>
          </w:tcPr>
          <w:p>
            <w:pPr>
              <w:spacing w:before="60" w:after="60"/>
            </w:pPr>
            <w:r>
              <w:t>100/100</w:t>
            </w:r>
          </w:p>
        </w:tc>
        <w:tc>
          <w:tcPr>
            <w:tcW w:type="dxa" w:w="1994"/>
            <w:shd w:val="clear" w:color="auto" w:fill="F4F6F7"/>
          </w:tcPr>
          <w:p>
            <w:pPr>
              <w:spacing w:before="60" w:after="60"/>
            </w:pPr>
            <w:r>
              <w:t>GREEN</w:t>
            </w:r>
          </w:p>
        </w:tc>
        <w:tc>
          <w:tcPr>
            <w:tcW w:type="dxa" w:w="1994"/>
            <w:shd w:val="clear" w:color="auto" w:fill="F4F6F7"/>
          </w:tcPr>
          <w:p>
            <w:pPr>
              <w:spacing w:before="60" w:after="60"/>
            </w:pPr>
            <w:r>
              <w:t>20%</w:t>
            </w:r>
          </w:p>
        </w:tc>
      </w:tr>
      <w:tr>
        <w:tc>
          <w:tcPr>
            <w:tcW w:type="dxa" w:w="1994"/>
          </w:tcPr>
          <w:p>
            <w:pPr>
              <w:spacing w:before="60" w:after="60"/>
            </w:pPr>
            <w:r>
              <w:t>C2</w:t>
            </w:r>
          </w:p>
        </w:tc>
        <w:tc>
          <w:tcPr>
            <w:tcW w:type="dxa" w:w="1994"/>
          </w:tcPr>
          <w:p>
            <w:pPr>
              <w:spacing w:before="60" w:after="60"/>
            </w:pPr>
            <w:r>
              <w:t>Capacity</w:t>
            </w:r>
          </w:p>
        </w:tc>
        <w:tc>
          <w:tcPr>
            <w:tcW w:type="dxa" w:w="1994"/>
          </w:tcPr>
          <w:p>
            <w:pPr>
              <w:spacing w:before="60" w:after="60"/>
            </w:pPr>
            <w:r>
              <w:t>68/100</w:t>
            </w:r>
          </w:p>
        </w:tc>
        <w:tc>
          <w:tcPr>
            <w:tcW w:type="dxa" w:w="1994"/>
          </w:tcPr>
          <w:p>
            <w:pPr>
              <w:spacing w:before="60" w:after="60"/>
            </w:pPr>
            <w:r>
              <w:t>AMBER</w:t>
            </w:r>
          </w:p>
        </w:tc>
        <w:tc>
          <w:tcPr>
            <w:tcW w:type="dxa" w:w="1994"/>
          </w:tcPr>
          <w:p>
            <w:pPr>
              <w:spacing w:before="60" w:after="60"/>
            </w:pPr>
            <w:r>
              <w:t>25%</w:t>
            </w:r>
          </w:p>
        </w:tc>
      </w:tr>
      <w:tr>
        <w:tc>
          <w:tcPr>
            <w:tcW w:type="dxa" w:w="1994"/>
            <w:shd w:val="clear" w:color="auto" w:fill="F4F6F7"/>
          </w:tcPr>
          <w:p>
            <w:pPr>
              <w:spacing w:before="60" w:after="60"/>
            </w:pPr>
            <w:r>
              <w:t>C3</w:t>
            </w:r>
          </w:p>
        </w:tc>
        <w:tc>
          <w:tcPr>
            <w:tcW w:type="dxa" w:w="1994"/>
            <w:shd w:val="clear" w:color="auto" w:fill="F4F6F7"/>
          </w:tcPr>
          <w:p>
            <w:pPr>
              <w:spacing w:before="60" w:after="60"/>
            </w:pPr>
            <w:r>
              <w:t>Capital</w:t>
            </w:r>
          </w:p>
        </w:tc>
        <w:tc>
          <w:tcPr>
            <w:tcW w:type="dxa" w:w="1994"/>
            <w:shd w:val="clear" w:color="auto" w:fill="F4F6F7"/>
          </w:tcPr>
          <w:p>
            <w:pPr>
              <w:spacing w:before="60" w:after="60"/>
            </w:pPr>
            <w:r>
              <w:t>62/100</w:t>
            </w:r>
          </w:p>
        </w:tc>
        <w:tc>
          <w:tcPr>
            <w:tcW w:type="dxa" w:w="1994"/>
            <w:shd w:val="clear" w:color="auto" w:fill="F4F6F7"/>
          </w:tcPr>
          <w:p>
            <w:pPr>
              <w:spacing w:before="60" w:after="60"/>
            </w:pPr>
            <w:r>
              <w:t>AMBER</w:t>
            </w:r>
          </w:p>
        </w:tc>
        <w:tc>
          <w:tcPr>
            <w:tcW w:type="dxa" w:w="1994"/>
            <w:shd w:val="clear" w:color="auto" w:fill="F4F6F7"/>
          </w:tcPr>
          <w:p>
            <w:pPr>
              <w:spacing w:before="60" w:after="60"/>
            </w:pPr>
            <w:r>
              <w:t>20%</w:t>
            </w:r>
          </w:p>
        </w:tc>
      </w:tr>
      <w:tr>
        <w:tc>
          <w:tcPr>
            <w:tcW w:type="dxa" w:w="1994"/>
          </w:tcPr>
          <w:p>
            <w:pPr>
              <w:spacing w:before="60" w:after="60"/>
            </w:pPr>
            <w:r>
              <w:t>C4</w:t>
            </w:r>
          </w:p>
        </w:tc>
        <w:tc>
          <w:tcPr>
            <w:tcW w:type="dxa" w:w="1994"/>
          </w:tcPr>
          <w:p>
            <w:pPr>
              <w:spacing w:before="60" w:after="60"/>
            </w:pPr>
            <w:r>
              <w:t>Collateral</w:t>
            </w:r>
          </w:p>
        </w:tc>
        <w:tc>
          <w:tcPr>
            <w:tcW w:type="dxa" w:w="1994"/>
          </w:tcPr>
          <w:p>
            <w:pPr>
              <w:spacing w:before="60" w:after="60"/>
            </w:pPr>
            <w:r>
              <w:t>53/100</w:t>
            </w:r>
          </w:p>
        </w:tc>
        <w:tc>
          <w:tcPr>
            <w:tcW w:type="dxa" w:w="1994"/>
          </w:tcPr>
          <w:p>
            <w:pPr>
              <w:spacing w:before="60" w:after="60"/>
            </w:pPr>
            <w:r>
              <w:t>AMBER</w:t>
            </w:r>
          </w:p>
        </w:tc>
        <w:tc>
          <w:tcPr>
            <w:tcW w:type="dxa" w:w="1994"/>
          </w:tcPr>
          <w:p>
            <w:pPr>
              <w:spacing w:before="60" w:after="60"/>
            </w:pPr>
            <w:r>
              <w:t>15%</w:t>
            </w:r>
          </w:p>
        </w:tc>
      </w:tr>
      <w:tr>
        <w:tc>
          <w:tcPr>
            <w:tcW w:type="dxa" w:w="1994"/>
            <w:shd w:val="clear" w:color="auto" w:fill="F4F6F7"/>
          </w:tcPr>
          <w:p>
            <w:pPr>
              <w:spacing w:before="60" w:after="60"/>
            </w:pPr>
            <w:r>
              <w:t>C5</w:t>
            </w:r>
          </w:p>
        </w:tc>
        <w:tc>
          <w:tcPr>
            <w:tcW w:type="dxa" w:w="1994"/>
            <w:shd w:val="clear" w:color="auto" w:fill="F4F6F7"/>
          </w:tcPr>
          <w:p>
            <w:pPr>
              <w:spacing w:before="60" w:after="60"/>
            </w:pPr>
            <w:r>
              <w:t>Conditions</w:t>
            </w:r>
          </w:p>
        </w:tc>
        <w:tc>
          <w:tcPr>
            <w:tcW w:type="dxa" w:w="1994"/>
            <w:shd w:val="clear" w:color="auto" w:fill="F4F6F7"/>
          </w:tcPr>
          <w:p>
            <w:pPr>
              <w:spacing w:before="60" w:after="60"/>
            </w:pPr>
            <w:r>
              <w:t>80/100</w:t>
            </w:r>
          </w:p>
        </w:tc>
        <w:tc>
          <w:tcPr>
            <w:tcW w:type="dxa" w:w="1994"/>
            <w:shd w:val="clear" w:color="auto" w:fill="F4F6F7"/>
          </w:tcPr>
          <w:p>
            <w:pPr>
              <w:spacing w:before="60" w:after="60"/>
            </w:pPr>
            <w:r>
              <w:t>GREEN</w:t>
            </w:r>
          </w:p>
        </w:tc>
        <w:tc>
          <w:tcPr>
            <w:tcW w:type="dxa" w:w="1994"/>
            <w:shd w:val="clear" w:color="auto" w:fill="F4F6F7"/>
          </w:tcPr>
          <w:p>
            <w:pPr>
              <w:spacing w:before="60" w:after="60"/>
            </w:pPr>
            <w:r>
              <w:t>10%</w:t>
            </w:r>
          </w:p>
        </w:tc>
      </w:tr>
    </w:tbl>
    <w:p/>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C3E50"/>
        <w:sz w:val="14"/>
      </w:rPr>
      <w:t>CONFIDENTIAL — Test Co Pvt Ltd | CAM Ref: CAM/TEST_DIAG_001/202603 | Generated: 08 Mar 2026 | Intelli-Credit AI Engine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