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56"/>
        </w:rPr>
        <w:t>INTELLI-CREDIT BANK</w:t>
      </w:r>
    </w:p>
    <w:p>
      <w:pPr>
        <w:jc w:val="center"/>
      </w:pPr>
      <w:r>
        <w:rPr>
          <w:b/>
          <w:color w:val="2C3E50"/>
          <w:sz w:val="36"/>
        </w:rPr>
        <w:t>CREDIT APPRAISAL MEMORANDUM</w:t>
      </w:r>
    </w:p>
    <w:p>
      <w:pPr>
        <w:pBdr>
          <w:bottom w:val="single" w:sz="8" w:space="1" w:color="1B365D"/>
        </w:pBdr>
        <w:spacing w:before="0"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F2E9"/>
          </w:tcPr>
          <w:p>
            <w:pPr>
              <w:spacing w:before="160" w:after="160"/>
              <w:jc w:val="center"/>
            </w:pPr>
            <w:r>
              <w:rPr>
                <w:b/>
                <w:color w:val="E67E22"/>
                <w:sz w:val="28"/>
              </w:rPr>
              <w:t>DECISION: CONDITIONAL APPROVAL</w:t>
            </w:r>
            <w:r>
              <w:br/>
            </w:r>
            <w:r>
              <w:rPr>
                <w:color w:val="2C3E50"/>
                <w:sz w:val="22"/>
              </w:rPr>
              <w:t>Recommended: ₹1.00 Cr  |  Rate: 9.50% p.a.  |  Score: 59/100  |  Risk Band: AMBER</w:t>
            </w:r>
          </w:p>
        </w:tc>
      </w:tr>
    </w:tbl>
    <w:p/>
    <w:p>
      <w:pPr>
        <w:pBdr>
          <w:bottom w:val="single" w:sz="8" w:space="1" w:color="218BC4"/>
        </w:pBdr>
        <w:spacing w:before="0"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Company Name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Bhushan Power and Steel Limited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CIN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U27100DL1999PLC108350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Industry / Sector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Iron &amp; Steel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Loan Type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Working Capital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Report Date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04 March 2026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Prepared By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Intelli-Credit AI Engine v3.0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CAM Reference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CAM/TEST_001/202603</w:t>
            </w:r>
          </w:p>
        </w:tc>
      </w:tr>
    </w:tbl>
    <w:p/>
    <w:p>
      <w:r>
        <w:br w:type="page"/>
      </w:r>
    </w:p>
    <w:p>
      <w:pPr>
        <w:pBdr>
          <w:bottom w:val="single" w:sz="8" w:space="1" w:color="1B365D"/>
        </w:pBdr>
        <w:spacing w:before="0" w:after="40"/>
      </w:pPr>
    </w:p>
    <w:p>
      <w:pPr>
        <w:spacing w:before="120" w:after="80"/>
      </w:pPr>
      <w:r>
        <w:rPr>
          <w:b/>
          <w:color w:val="1B365D"/>
          <w:sz w:val="28"/>
        </w:rPr>
        <w:t>SECTION 1 — EXECUTIVE SUMMARY &amp; RECOMMENDATION</w:t>
      </w:r>
    </w:p>
    <w:p>
      <w:pPr>
        <w:spacing w:after="120"/>
      </w:pPr>
      <w:r>
        <w:rPr>
          <w:b/>
          <w:color w:val="D46F0D"/>
          <w:sz w:val="18"/>
        </w:rPr>
        <w:t xml:space="preserve"> Composite Score: 59/100 [AMBER] </w:t>
      </w:r>
    </w:p>
    <w:p>
      <w:pPr>
        <w:spacing w:before="80" w:after="120" w:line="280" w:lineRule="exact"/>
      </w:pPr>
      <w:r>
        <w:rPr>
          <w:sz w:val="20"/>
        </w:rPr>
        <w:t>[Executive Summary narrative not available — Error code: 401 - {'type': 'error', 'error': {'type': 'authentication_error', 'message': 'invalid x-api-key'}, 'request_. Review the data tables in this section manually.]</w:t>
      </w:r>
    </w:p>
    <w:p/>
    <w:p>
      <w:pPr>
        <w:pBdr>
          <w:bottom w:val="single" w:sz="8" w:space="1" w:color="1B365D"/>
        </w:pBdr>
        <w:spacing w:before="0" w:after="40"/>
      </w:pPr>
    </w:p>
    <w:p>
      <w:pPr>
        <w:spacing w:before="120" w:after="80"/>
      </w:pPr>
      <w:r>
        <w:rPr>
          <w:b/>
          <w:color w:val="1B365D"/>
          <w:sz w:val="28"/>
        </w:rPr>
        <w:t>SECTION 2 — COMPANY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Legal Name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Bhushan Power and Steel Limited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Corporate Identity No.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U27100DL1999PLC108350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27AAAAA0000A1Z5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Industry / Sector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Iron &amp; Steel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Registered Address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4th Floor, A-2, NTH Complex, Shaheed Jeet Singh Marg, USO Road, Qutab Institutional Area, South Delhi, New Delhi - 110067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Incorporation Year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1999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Promoter Shareholding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83.3%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Loan Amount Requested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₹1.00 Crore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Loan Type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Working Capital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Tenor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36 months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Working capital requirements</w:t>
            </w:r>
          </w:p>
        </w:tc>
      </w:tr>
    </w:tbl>
    <w:p/>
    <w:p/>
    <w:p/>
    <w:p>
      <w:pPr>
        <w:pBdr>
          <w:bottom w:val="single" w:sz="8" w:space="1" w:color="1B365D"/>
        </w:pBdr>
        <w:spacing w:before="0" w:after="40"/>
      </w:pPr>
    </w:p>
    <w:p>
      <w:pPr>
        <w:spacing w:before="120" w:after="80"/>
      </w:pPr>
      <w:r>
        <w:rPr>
          <w:b/>
          <w:color w:val="1B365D"/>
          <w:sz w:val="28"/>
        </w:rPr>
        <w:t>SECTION 3 — CHARACTER (Five Cs — C1)</w:t>
      </w:r>
    </w:p>
    <w:p>
      <w:pPr>
        <w:spacing w:after="120"/>
      </w:pPr>
      <w:r>
        <w:rPr>
          <w:b/>
          <w:color w:val="1E8B4C"/>
          <w:sz w:val="18"/>
        </w:rPr>
        <w:t xml:space="preserve"> Character Score: 100/100 [GREEN] </w:t>
      </w:r>
    </w:p>
    <w:p>
      <w:pPr>
        <w:spacing w:before="80" w:after="120" w:line="280" w:lineRule="exact"/>
      </w:pPr>
      <w:r>
        <w:rPr>
          <w:sz w:val="20"/>
        </w:rPr>
        <w:t>[Character narrative not available — Error code: 401 - {'type': 'error', 'error': {'type': 'authentication_error', 'message': 'invalid x-api-key'}, 'request_. Review the data tables in this section manually.]</w:t>
      </w:r>
    </w:p>
    <w:p/>
    <w:p>
      <w:pPr>
        <w:spacing w:before="80" w:after="40"/>
      </w:pPr>
      <w:r>
        <w:rPr>
          <w:b/>
          <w:color w:val="2C3E50"/>
          <w:sz w:val="24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Sub-dimension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Points Awarded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Max Points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Benchmark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Promoter integrity: 0 CRITICAL, 0 HIGH, 0 MEDIUM flags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100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100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Research agent: RBI + MCA + News promoter signals</w:t>
            </w:r>
          </w:p>
        </w:tc>
      </w:tr>
    </w:tbl>
    <w:p/>
    <w:p/>
    <w:p>
      <w:pPr>
        <w:pBdr>
          <w:bottom w:val="single" w:sz="8" w:space="1" w:color="1B365D"/>
        </w:pBdr>
        <w:spacing w:before="0" w:after="40"/>
      </w:pPr>
    </w:p>
    <w:p>
      <w:pPr>
        <w:spacing w:before="120" w:after="80"/>
      </w:pPr>
      <w:r>
        <w:rPr>
          <w:b/>
          <w:color w:val="1B365D"/>
          <w:sz w:val="28"/>
        </w:rPr>
        <w:t>SECTION 4 — CAPACITY (Five Cs — C2)</w:t>
      </w:r>
    </w:p>
    <w:p>
      <w:pPr>
        <w:spacing w:after="120"/>
      </w:pPr>
      <w:r>
        <w:rPr>
          <w:b/>
          <w:color w:val="AB2B1E"/>
          <w:sz w:val="18"/>
        </w:rPr>
        <w:t xml:space="preserve"> Capacity Score: 12/100 [BLACK]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 (₹ Crore)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9M FY25*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Total Revenue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20077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21893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16029</w:t>
            </w:r>
          </w:p>
        </w:tc>
      </w:tr>
      <w:tr>
        <w:tc>
          <w:tcPr>
            <w:tcW w:type="dxa" w:w="2493"/>
          </w:tcPr>
          <w:p>
            <w:pPr>
              <w:spacing w:before="60" w:after="60"/>
            </w:pPr>
            <w:r>
              <w:t>EBITDA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1806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2765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1882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PAT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160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674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219</w:t>
            </w:r>
          </w:p>
        </w:tc>
      </w:tr>
      <w:tr>
        <w:tc>
          <w:tcPr>
            <w:tcW w:type="dxa" w:w="2493"/>
          </w:tcPr>
          <w:p>
            <w:pPr>
              <w:spacing w:before="60" w:after="60"/>
            </w:pPr>
            <w:r>
              <w:t>EBITDA Margin %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9.0%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12.6%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11.7%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3"/>
          </w:tcPr>
          <w:p>
            <w:r>
              <w:t>Interest Coverage</w:t>
            </w:r>
          </w:p>
        </w:tc>
        <w:tc>
          <w:tcPr>
            <w:tcW w:type="dxa" w:w="2493"/>
          </w:tcPr>
          <w:p>
            <w:r>
              <w:t>2.96x</w:t>
            </w:r>
          </w:p>
        </w:tc>
        <w:tc>
          <w:tcPr>
            <w:tcW w:type="dxa" w:w="2493"/>
          </w:tcPr>
          <w:p>
            <w:r>
              <w:rPr>
                <w:color w:val="D46F0D"/>
              </w:rPr>
              <w:t>~</w:t>
            </w:r>
          </w:p>
        </w:tc>
        <w:tc>
          <w:tcPr>
            <w:tcW w:type="dxa" w:w="2493"/>
          </w:tcPr>
          <w:p>
            <w:r>
              <w:t>Adequate: ≥2x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[Capacity narrative not available — Error code: 401 - {'type': 'error', 'error': {'type': 'authentication_error', 'message': 'invalid x-api-key'}, 'request_. Review the data tables in this section manually.]</w:t>
      </w:r>
    </w:p>
    <w:p>
      <w:pPr>
        <w:spacing w:before="80" w:after="40"/>
      </w:pPr>
      <w:r>
        <w:rPr>
          <w:b/>
          <w:color w:val="2C3E50"/>
          <w:sz w:val="24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Sub-dimension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Points Awarded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Max Points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Benchmark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DSCR not available — 0 pts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40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Benchmark: DSCR ≥2.0x = 40pts, ≥1.5x = 30pts, ≥1.25x = 20pts</w:t>
            </w:r>
          </w:p>
        </w:tc>
      </w:tr>
      <w:tr>
        <w:tc>
          <w:tcPr>
            <w:tcW w:type="dxa" w:w="2493"/>
          </w:tcPr>
          <w:p>
            <w:pPr>
              <w:spacing w:before="60" w:after="60"/>
            </w:pPr>
            <w:r>
              <w:t>ICR 2.96x → 12 pts (moderate, 2–3x)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12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25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Benchmark: ICR ≥4x = 25pts, ≥3x = 20pts, ≥2x = 12pts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CFO negative in latest year → 0 pts (cash drain)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Benchmark: CFO positive all 3 years = 20pts</w:t>
            </w:r>
          </w:p>
        </w:tc>
      </w:tr>
      <w:tr>
        <w:tc>
          <w:tcPr>
            <w:tcW w:type="dxa" w:w="2493"/>
          </w:tcPr>
          <w:p>
            <w:pPr>
              <w:spacing w:before="60" w:after="60"/>
            </w:pPr>
            <w:r>
              <w:t>Revenue CAGR -10.6% → 0 pts (declining revenue)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15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Benchmark: CAGR ≥20% = 15pts, ≥10% = 10pts</w:t>
            </w:r>
          </w:p>
        </w:tc>
      </w:tr>
    </w:tbl>
    <w:p/>
    <w:p/>
    <w:p>
      <w:pPr>
        <w:pBdr>
          <w:bottom w:val="single" w:sz="8" w:space="1" w:color="1B365D"/>
        </w:pBdr>
        <w:spacing w:before="0" w:after="40"/>
      </w:pPr>
    </w:p>
    <w:p>
      <w:pPr>
        <w:spacing w:before="120" w:after="80"/>
      </w:pPr>
      <w:r>
        <w:rPr>
          <w:b/>
          <w:color w:val="1B365D"/>
          <w:sz w:val="28"/>
        </w:rPr>
        <w:t>SECTION 5 — CAPITAL (Five Cs — C3)</w:t>
      </w:r>
    </w:p>
    <w:p>
      <w:pPr>
        <w:spacing w:after="120"/>
      </w:pPr>
      <w:r>
        <w:rPr>
          <w:b/>
          <w:color w:val="D46F0D"/>
          <w:sz w:val="18"/>
        </w:rPr>
        <w:t xml:space="preserve"> Capital Score: 62/100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3"/>
          </w:tcPr>
          <w:p>
            <w:r>
              <w:t>Total Debt</w:t>
            </w:r>
          </w:p>
        </w:tc>
        <w:tc>
          <w:tcPr>
            <w:tcW w:type="dxa" w:w="2493"/>
          </w:tcPr>
          <w:p>
            <w:r>
              <w:t>₹17780.00 Cr</w:t>
            </w:r>
          </w:p>
        </w:tc>
        <w:tc>
          <w:tcPr>
            <w:tcW w:type="dxa" w:w="2493"/>
          </w:tcPr>
          <w:p>
            <w:r>
              <w:rPr>
                <w:color w:val="D46F0D"/>
              </w:rPr>
              <w:t>~</w:t>
            </w:r>
          </w:p>
        </w:tc>
        <w:tc>
          <w:tcPr>
            <w:tcW w:type="dxa" w:w="2493"/>
          </w:tcPr>
          <w:p>
            <w:r>
              <w:t>Lower = less leveraged</w:t>
            </w:r>
          </w:p>
        </w:tc>
      </w:tr>
      <w:tr>
        <w:tc>
          <w:tcPr>
            <w:tcW w:type="dxa" w:w="2493"/>
          </w:tcPr>
          <w:p>
            <w:r>
              <w:t>Gearing Ratio</w:t>
            </w:r>
          </w:p>
        </w:tc>
        <w:tc>
          <w:tcPr>
            <w:tcW w:type="dxa" w:w="2493"/>
          </w:tcPr>
          <w:p>
            <w:r>
              <w:t>0.47x</w:t>
            </w:r>
          </w:p>
        </w:tc>
        <w:tc>
          <w:tcPr>
            <w:tcW w:type="dxa" w:w="2493"/>
          </w:tcPr>
          <w:p>
            <w:r>
              <w:rPr>
                <w:color w:val="D46F0D"/>
              </w:rPr>
              <w:t>~</w:t>
            </w:r>
          </w:p>
        </w:tc>
        <w:tc>
          <w:tcPr>
            <w:tcW w:type="dxa" w:w="2493"/>
          </w:tcPr>
          <w:p>
            <w:r>
              <w:t>Debt as % of total assets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[Capital narrative not available — Error code: 401 - {'type': 'error', 'error': {'type': 'authentication_error', 'message': 'invalid x-api-key'}, 'request_. Review the data tables in this section manually.]</w:t>
      </w:r>
    </w:p>
    <w:p>
      <w:pPr>
        <w:spacing w:before="80" w:after="40"/>
      </w:pPr>
      <w:r>
        <w:rPr>
          <w:b/>
          <w:color w:val="2C3E50"/>
          <w:sz w:val="24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Sub-dimension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Points Awarded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Max Points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Benchmark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Net Worth not available — 0 pts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30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Benchmark: NW ≥₹1000 Cr = 30pts, ≥₹500 Cr = 25pts</w:t>
            </w:r>
          </w:p>
        </w:tc>
      </w:tr>
      <w:tr>
        <w:tc>
          <w:tcPr>
            <w:tcW w:type="dxa" w:w="2493"/>
          </w:tcPr>
          <w:p>
            <w:pPr>
              <w:spacing w:before="60" w:after="60"/>
            </w:pPr>
            <w:r>
              <w:t>D/E 0.47x → 35 pts (low leverage ≤1x)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35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35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Benchmark: D/E ≤1x = 35pts, ≤2x = 27pts, ≤3x = 16pts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Tangible NW 100% of NW → 20 pts (very clean)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20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Benchmark: Tangible NW ≥95% of NW = 20pts</w:t>
            </w:r>
          </w:p>
        </w:tc>
      </w:tr>
      <w:tr>
        <w:tc>
          <w:tcPr>
            <w:tcW w:type="dxa" w:w="2493"/>
          </w:tcPr>
          <w:p>
            <w:pPr>
              <w:spacing w:before="60" w:after="60"/>
            </w:pPr>
            <w:r>
              <w:t>Current Ratio not available — neutral 7 pts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7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15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Benchmark: Current Ratio ≥2x = 15pts</w:t>
            </w:r>
          </w:p>
        </w:tc>
      </w:tr>
    </w:tbl>
    <w:p/>
    <w:p/>
    <w:p>
      <w:pPr>
        <w:pBdr>
          <w:bottom w:val="single" w:sz="8" w:space="1" w:color="1B365D"/>
        </w:pBdr>
        <w:spacing w:before="0" w:after="40"/>
      </w:pPr>
    </w:p>
    <w:p>
      <w:pPr>
        <w:spacing w:before="120" w:after="80"/>
      </w:pPr>
      <w:r>
        <w:rPr>
          <w:b/>
          <w:color w:val="1B365D"/>
          <w:sz w:val="28"/>
        </w:rPr>
        <w:t>SECTION 6 — COLLATERAL (Five Cs — C4)</w:t>
      </w:r>
    </w:p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>
      <w:pPr>
        <w:spacing w:before="80" w:after="120" w:line="280" w:lineRule="exact"/>
      </w:pPr>
      <w:r>
        <w:rPr>
          <w:sz w:val="20"/>
        </w:rPr>
        <w:t>[Collateral narrative not available — Error code: 401 - {'type': 'error', 'error': {'type': 'authentication_error', 'message': 'invalid x-api-key'}, 'request_. Review the data tables in this section manually.]</w:t>
      </w:r>
    </w:p>
    <w:p>
      <w:pPr>
        <w:spacing w:before="80" w:after="40"/>
      </w:pPr>
      <w:r>
        <w:rPr>
          <w:b/>
          <w:color w:val="2C3E50"/>
          <w:sz w:val="24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Sub-dimension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Points Awarded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Max Points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Benchmark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Collateral data not available — neutral 50 pts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50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100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Upload collateral statement for full scoring</w:t>
            </w:r>
          </w:p>
        </w:tc>
      </w:tr>
    </w:tbl>
    <w:p/>
    <w:p/>
    <w:p>
      <w:pPr>
        <w:pBdr>
          <w:bottom w:val="single" w:sz="8" w:space="1" w:color="1B365D"/>
        </w:pBdr>
        <w:spacing w:before="0" w:after="40"/>
      </w:pPr>
    </w:p>
    <w:p>
      <w:pPr>
        <w:spacing w:before="120" w:after="80"/>
      </w:pPr>
      <w:r>
        <w:rPr>
          <w:b/>
          <w:color w:val="1B365D"/>
          <w:sz w:val="28"/>
        </w:rPr>
        <w:t>SECTION 7 — CONDITIONS (Five Cs — C5)</w:t>
      </w:r>
    </w:p>
    <w:p>
      <w:pPr>
        <w:spacing w:after="120"/>
      </w:pPr>
      <w:r>
        <w:rPr>
          <w:b/>
          <w:color w:val="1E8B4C"/>
          <w:sz w:val="18"/>
        </w:rPr>
        <w:t xml:space="preserve"> Conditions Score: 80/100 [GREEN] </w:t>
      </w:r>
    </w:p>
    <w:p>
      <w:pPr>
        <w:spacing w:before="80" w:after="120" w:line="280" w:lineRule="exact"/>
      </w:pPr>
      <w:r>
        <w:rPr>
          <w:sz w:val="20"/>
        </w:rPr>
        <w:t>[Conditions narrative not available — Error code: 401 - {'type': 'error', 'error': {'type': 'authentication_error', 'message': 'invalid x-api-key'}, 'request_. Review the data tables in this section manually.]</w:t>
      </w:r>
    </w:p>
    <w:p/>
    <w:p>
      <w:pPr>
        <w:pBdr>
          <w:bottom w:val="single" w:sz="8" w:space="1" w:color="1B365D"/>
        </w:pBdr>
        <w:spacing w:before="0" w:after="40"/>
      </w:pPr>
    </w:p>
    <w:p>
      <w:pPr>
        <w:spacing w:before="120" w:after="80"/>
      </w:pPr>
      <w:r>
        <w:rPr>
          <w:b/>
          <w:color w:val="1B365D"/>
          <w:sz w:val="28"/>
        </w:rPr>
        <w:t>SECTION 8 —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493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Mitigant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rPr>
                <w:b/>
                <w:color w:val="1A72BD"/>
              </w:rPr>
              <w:t>MEDIUM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CRITICAL: Supreme Court ordered liquidation of BPSL on May 2, 2025. JSW Steel's Rs.19,700 crore resolution plan rejected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Document Analysis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Enhanced monitoring and covenant package.</w:t>
            </w:r>
          </w:p>
        </w:tc>
      </w:tr>
      <w:tr>
        <w:tc>
          <w:tcPr>
            <w:tcW w:type="dxa" w:w="2493"/>
          </w:tcPr>
          <w:p>
            <w:pPr>
              <w:spacing w:before="60" w:after="60"/>
            </w:pPr>
            <w:r>
              <w:rPr>
                <w:b/>
                <w:color w:val="1A72BD"/>
              </w:rPr>
              <w:t>MEDIUM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Steel blended realisation declined 18% from FY24 (Rs.73,963/tonne) to Q3FY25 (Rs.60,682/tonne) due to cheap Chinese stee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Document Analysis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Enhanced monitoring and covenant package.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rPr>
                <w:b/>
                <w:color w:val="1A72BD"/>
              </w:rPr>
              <w:t>MEDIUM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PBILDT per tonne fell 34%: Rs.9,341 in FY24 → Rs.6,148 in Q3FY25. Profitability under pressure from both lower realisati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Document Analysis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Enhanced monitoring and covenant package.</w:t>
            </w:r>
          </w:p>
        </w:tc>
      </w:tr>
      <w:tr>
        <w:tc>
          <w:tcPr>
            <w:tcW w:type="dxa" w:w="2493"/>
          </w:tcPr>
          <w:p>
            <w:pPr>
              <w:spacing w:before="60" w:after="60"/>
            </w:pPr>
            <w:r>
              <w:rPr>
                <w:b/>
                <w:color w:val="1A72BD"/>
              </w:rPr>
              <w:t>MEDIUM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Cash balance declined 34%: Rs.643 crore (March 2024) → Rs.424 crore (December 2024) — liquidity tightening.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Document Analysis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Enhanced monitoring and covenant package.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rPr>
                <w:b/>
                <w:color w:val="1A72BD"/>
              </w:rPr>
              <w:t>MEDIUM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 xml:space="preserve">Legacy bank fraud: Former promoter Sanjay Singal accused of Rs.47,000 crore bank fraud across PNB, OBC, IDBI, UCO Bank. 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Document Analysis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Enhanced monitoring and covenant package.</w:t>
            </w:r>
          </w:p>
        </w:tc>
      </w:tr>
      <w:tr>
        <w:tc>
          <w:tcPr>
            <w:tcW w:type="dxa" w:w="2493"/>
          </w:tcPr>
          <w:p>
            <w:pPr>
              <w:spacing w:before="60" w:after="60"/>
            </w:pPr>
            <w:r>
              <w:rPr>
                <w:b/>
                <w:color w:val="1A72BD"/>
              </w:rPr>
              <w:t>MEDIUM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Forex exposure: Company imports coking coal and has USD-denominated debt. Partial natural hedge via export revenues. Hed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Document Analysis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Enhanced monitoring and covenant package.</w:t>
            </w:r>
          </w:p>
        </w:tc>
      </w:tr>
      <w:tr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rPr>
                <w:b/>
                <w:color w:val="1A72BD"/>
              </w:rPr>
              <w:t>MEDIUM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Unquantified retrospective mining tax contingent liability — Odisha operations exposed. Quantum not yet determined by au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Document Analysis</w:t>
            </w:r>
          </w:p>
        </w:tc>
        <w:tc>
          <w:tcPr>
            <w:tcW w:type="dxa" w:w="2493"/>
            <w:shd w:val="clear" w:color="auto" w:fill="F4F6F7"/>
          </w:tcPr>
          <w:p>
            <w:pPr>
              <w:spacing w:before="60" w:after="60"/>
            </w:pPr>
            <w:r>
              <w:t>Enhanced monitoring and covenant package.</w:t>
            </w:r>
          </w:p>
        </w:tc>
      </w:tr>
      <w:tr>
        <w:tc>
          <w:tcPr>
            <w:tcW w:type="dxa" w:w="2493"/>
          </w:tcPr>
          <w:p>
            <w:pPr>
              <w:spacing w:before="60" w:after="60"/>
            </w:pPr>
            <w:r>
              <w:rPr>
                <w:b/>
                <w:color w:val="D46F0D"/>
              </w:rPr>
              <w:t>HIGH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FLAG — 1 litigation-related flag(s) detected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Document Analysis</w:t>
            </w:r>
          </w:p>
        </w:tc>
        <w:tc>
          <w:tcPr>
            <w:tcW w:type="dxa" w:w="2493"/>
          </w:tcPr>
          <w:p>
            <w:pPr>
              <w:spacing w:before="60" w:after="60"/>
            </w:pPr>
            <w:r>
              <w:t>Enhanced monitoring and covenant package.</w:t>
            </w:r>
          </w:p>
        </w:tc>
      </w:tr>
    </w:tbl>
    <w:p/>
    <w:p/>
    <w:p>
      <w:pPr>
        <w:pBdr>
          <w:bottom w:val="single" w:sz="8" w:space="1" w:color="1B365D"/>
        </w:pBdr>
        <w:spacing w:before="0" w:after="40"/>
      </w:pPr>
    </w:p>
    <w:p>
      <w:pPr>
        <w:spacing w:before="120" w:after="80"/>
      </w:pPr>
      <w:r>
        <w:rPr>
          <w:b/>
          <w:color w:val="1B365D"/>
          <w:sz w:val="28"/>
        </w:rPr>
        <w:t>SECTION 9 — RECOMMENDATION &amp; CONDITIONS PRECEDENT</w:t>
      </w:r>
    </w:p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₹1.00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₹1.00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1B365D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1B365D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1B365D"/>
              </w:rPr>
              <w:t>9.50% + 0.00% = 9.50%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>
      <w:pPr>
        <w:pStyle w:val="ListBullet"/>
      </w:pPr>
      <w:r>
        <w:rPr>
          <w:sz w:val="20"/>
        </w:rPr>
        <w:t>Execution of all security documents — loan agreement, hypothecation deed, and mortgage deed.</w:t>
      </w:r>
    </w:p>
    <w:p>
      <w:pPr>
        <w:pStyle w:val="ListBullet"/>
      </w:pPr>
      <w:r>
        <w:rPr>
          <w:sz w:val="20"/>
        </w:rPr>
        <w:t>Submission of latest audited financial statements (within 6 months of year-end).</w:t>
      </w:r>
    </w:p>
    <w:p>
      <w:pPr>
        <w:pStyle w:val="ListBullet"/>
      </w:pPr>
      <w:r>
        <w:rPr>
          <w:sz w:val="20"/>
        </w:rPr>
        <w:t>Board resolution authorising borrowing and security creation.</w:t>
      </w:r>
    </w:p>
    <w:p>
      <w:pPr>
        <w:pStyle w:val="ListBullet"/>
      </w:pPr>
      <w:r>
        <w:rPr>
          <w:sz w:val="20"/>
        </w:rPr>
        <w:t>Proof of insurance on all hypothecated / mortgaged assets naming bank as beneficiary.</w:t>
      </w:r>
    </w:p>
    <w:p>
      <w:pPr>
        <w:pStyle w:val="ListBullet"/>
      </w:pPr>
      <w:r>
        <w:rPr>
          <w:sz w:val="20"/>
        </w:rPr>
        <w:t>Certificate from existing lenders confirming no NPA / overdue classification.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>
      <w:pPr>
        <w:pStyle w:val="ListBullet"/>
      </w:pPr>
      <w:r>
        <w:rPr>
          <w:sz w:val="20"/>
        </w:rPr>
        <w:t>Annual submission of audited financial statements within 90 days of financial year-end.</w:t>
      </w:r>
    </w:p>
    <w:p>
      <w:pPr>
        <w:pStyle w:val="ListBullet"/>
      </w:pPr>
      <w:r>
        <w:rPr>
          <w:sz w:val="20"/>
        </w:rPr>
        <w:t>Quarterly stock and debtors statements for working capital monitoring.</w:t>
      </w:r>
    </w:p>
    <w:p>
      <w:pPr>
        <w:pStyle w:val="ListBullet"/>
      </w:pPr>
      <w:r>
        <w:rPr>
          <w:sz w:val="20"/>
        </w:rPr>
        <w:t>Maintenance of DSCR ≥1.25x — tested annually from audited accounts.</w:t>
      </w:r>
    </w:p>
    <w:p>
      <w:pPr>
        <w:pStyle w:val="ListBullet"/>
      </w:pPr>
      <w:r>
        <w:rPr>
          <w:sz w:val="20"/>
        </w:rPr>
        <w:t>Immediate notification to bank of any litigation, regulatory action, or adverse news event.</w:t>
      </w:r>
    </w:p>
    <w:p>
      <w:pPr>
        <w:pStyle w:val="ListBullet"/>
      </w:pPr>
      <w:r>
        <w:rPr>
          <w:sz w:val="20"/>
        </w:rPr>
        <w:t>No additional secured borrowing above ₹1 Cr without bank's prior written consent.</w:t>
      </w:r>
    </w:p>
    <w:p>
      <w:pPr>
        <w:pStyle w:val="ListBullet"/>
      </w:pPr>
      <w:r>
        <w:rPr>
          <w:sz w:val="20"/>
        </w:rPr>
        <w:t>Promoter shareholding to remain above 51% throughout the loan tenure.</w:t>
      </w:r>
    </w:p>
    <w:p>
      <w:pPr>
        <w:pStyle w:val="ListBullet"/>
      </w:pPr>
      <w:r>
        <w:rPr>
          <w:sz w:val="20"/>
        </w:rPr>
        <w:t>Half-yearly internal audit report to be submitted to the bank.</w:t>
      </w:r>
    </w:p>
    <w:p>
      <w:pPr>
        <w:pStyle w:val="ListBullet"/>
      </w:pPr>
      <w:r>
        <w:rPr>
          <w:sz w:val="20"/>
        </w:rPr>
        <w:t>Annual site visit by bank credit officer — access to books and records to be provided.</w:t>
      </w:r>
    </w:p>
    <w:p/>
    <w:p>
      <w:pPr>
        <w:spacing w:before="80" w:after="120" w:line="280" w:lineRule="exact"/>
      </w:pPr>
      <w:r>
        <w:rPr>
          <w:sz w:val="20"/>
        </w:rPr>
        <w:t>[Risk Mitigants narrative not available — Error code: 401 - {'type': 'error', 'error': {'type': 'authentication_error', 'message': 'invalid x-api-key'}, 'request_. Review the data tables in this section manually.]</w:t>
      </w:r>
    </w:p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Bhushan Power and Steel Limited | CAM Ref: CAM/TEST_001/202603 | Generated: 04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