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56"/>
        </w:rPr>
        <w:t>INTELLI-CREDIT BANK</w:t>
      </w:r>
    </w:p>
    <w:p>
      <w:pPr>
        <w:jc w:val="center"/>
      </w:pPr>
      <w:r>
        <w:rPr>
          <w:b/>
          <w:color w:val="2C3E50"/>
          <w:sz w:val="36"/>
        </w:rPr>
        <w:t>CREDIT APPRAISAL MEMORANDUM</w:t>
      </w:r>
    </w:p>
    <w:p>
      <w:pPr>
        <w:pBdr>
          <w:bottom w:val="single" w:sz="8" w:space="1" w:color="1B365D"/>
        </w:pBdr>
        <w:spacing w:before="0" w:after="40"/>
      </w:pPr>
    </w:p>
    <w:p/>
    <w:tbl>
      <w:tblPr>
        <w:tblStyle w:val="TableGrid"/>
        <w:tblW w:type="auto" w:w="0"/>
        <w:tblLook w:firstColumn="1" w:firstRow="1" w:lastColumn="0" w:lastRow="0" w:noHBand="0" w:noVBand="1" w:val="04A0"/>
      </w:tblPr>
      <w:tblGrid>
        <w:gridCol w:w="9972"/>
      </w:tblGrid>
      <w:tr>
        <w:tc>
          <w:tcPr>
            <w:tcW w:type="dxa" w:w="9972"/>
            <w:shd w:val="clear" w:color="auto" w:fill="FDF2E9"/>
          </w:tcPr>
          <w:p>
            <w:pPr>
              <w:spacing w:before="160" w:after="160"/>
              <w:jc w:val="center"/>
            </w:pPr>
            <w:r>
              <w:rPr>
                <w:b/>
                <w:color w:val="E67E22"/>
                <w:sz w:val="28"/>
              </w:rPr>
              <w:t>DECISION: CONDITIONAL APPROVAL</w:t>
            </w:r>
            <w:r>
              <w:br/>
            </w:r>
            <w:r>
              <w:rPr>
                <w:color w:val="2C3E50"/>
                <w:sz w:val="22"/>
              </w:rPr>
              <w:t>Recommended: ₹5.00 Cr  |  Rate: 9.50% p.a.  |  Score: 59/100  |  Risk Band: AMBER</w:t>
            </w:r>
          </w:p>
        </w:tc>
      </w:tr>
    </w:tbl>
    <w:p/>
    <w:p>
      <w:pPr>
        <w:pBdr>
          <w:bottom w:val="single" w:sz="8" w:space="1" w:color="218BC4"/>
        </w:pBdr>
        <w:spacing w:before="0" w:after="40"/>
      </w:pPr>
    </w:p>
    <w:p/>
    <w:tbl>
      <w:tblPr>
        <w:tblStyle w:val="TableGrid"/>
        <w:tblW w:type="auto" w:w="0"/>
        <w:tblLook w:firstColumn="1" w:firstRow="1" w:lastColumn="0" w:lastRow="0" w:noHBand="0" w:noVBand="1" w:val="04A0"/>
      </w:tblPr>
      <w:tblGrid>
        <w:gridCol w:w="3168"/>
        <w:gridCol w:w="5904"/>
      </w:tblGrid>
      <w:tr>
        <w:tc>
          <w:tcPr>
            <w:tcW w:type="dxa" w:w="3168"/>
            <w:shd w:val="clear" w:color="auto" w:fill="F4F6F7"/>
          </w:tcPr>
          <w:p>
            <w:pPr>
              <w:spacing w:before="60" w:after="60"/>
            </w:pPr>
            <w:r>
              <w:t>Company Name</w:t>
            </w:r>
          </w:p>
        </w:tc>
        <w:tc>
          <w:tcPr>
            <w:tcW w:type="dxa" w:w="5904"/>
            <w:shd w:val="clear" w:color="auto" w:fill="F4F6F7"/>
          </w:tcPr>
          <w:p>
            <w:pPr>
              <w:spacing w:before="60" w:after="60"/>
            </w:pPr>
            <w:r>
              <w:t>Bhushan Power and Steel Limited</w:t>
            </w:r>
          </w:p>
        </w:tc>
      </w:tr>
      <w:tr>
        <w:tc>
          <w:tcPr>
            <w:tcW w:type="dxa" w:w="3168"/>
          </w:tcPr>
          <w:p>
            <w:pPr>
              <w:spacing w:before="60" w:after="60"/>
            </w:pPr>
            <w:r>
              <w:t>CIN</w:t>
            </w:r>
          </w:p>
        </w:tc>
        <w:tc>
          <w:tcPr>
            <w:tcW w:type="dxa" w:w="5904"/>
          </w:tcPr>
          <w:p>
            <w:pPr>
              <w:spacing w:before="60" w:after="60"/>
            </w:pPr>
            <w:r>
              <w:t>U27100DL1999PLC108350</w:t>
            </w:r>
          </w:p>
        </w:tc>
      </w:tr>
      <w:tr>
        <w:tc>
          <w:tcPr>
            <w:tcW w:type="dxa" w:w="3168"/>
            <w:shd w:val="clear" w:color="auto" w:fill="F4F6F7"/>
          </w:tcPr>
          <w:p>
            <w:pPr>
              <w:spacing w:before="60" w:after="60"/>
            </w:pPr>
            <w:r>
              <w:t>Industry / Sector</w:t>
            </w:r>
          </w:p>
        </w:tc>
        <w:tc>
          <w:tcPr>
            <w:tcW w:type="dxa" w:w="5904"/>
            <w:shd w:val="clear" w:color="auto" w:fill="F4F6F7"/>
          </w:tcPr>
          <w:p>
            <w:pPr>
              <w:spacing w:before="60" w:after="60"/>
            </w:pPr>
            <w:r>
              <w:t>Iron &amp; Steel</w:t>
            </w:r>
          </w:p>
        </w:tc>
      </w:tr>
      <w:tr>
        <w:tc>
          <w:tcPr>
            <w:tcW w:type="dxa" w:w="3168"/>
          </w:tcPr>
          <w:p>
            <w:pPr>
              <w:spacing w:before="60" w:after="60"/>
            </w:pPr>
            <w:r>
              <w:t>Loan Type</w:t>
            </w:r>
          </w:p>
        </w:tc>
        <w:tc>
          <w:tcPr>
            <w:tcW w:type="dxa" w:w="5904"/>
          </w:tcPr>
          <w:p>
            <w:pPr>
              <w:spacing w:before="60" w:after="60"/>
            </w:pPr>
            <w:r>
              <w:t>Working Capital</w:t>
            </w:r>
          </w:p>
        </w:tc>
      </w:tr>
      <w:tr>
        <w:tc>
          <w:tcPr>
            <w:tcW w:type="dxa" w:w="3168"/>
            <w:shd w:val="clear" w:color="auto" w:fill="F4F6F7"/>
          </w:tcPr>
          <w:p>
            <w:pPr>
              <w:spacing w:before="60" w:after="60"/>
            </w:pPr>
            <w:r>
              <w:t>Report Date</w:t>
            </w:r>
          </w:p>
        </w:tc>
        <w:tc>
          <w:tcPr>
            <w:tcW w:type="dxa" w:w="5904"/>
            <w:shd w:val="clear" w:color="auto" w:fill="F4F6F7"/>
          </w:tcPr>
          <w:p>
            <w:pPr>
              <w:spacing w:before="60" w:after="60"/>
            </w:pPr>
            <w:r>
              <w:t>04 March 2026</w:t>
            </w:r>
          </w:p>
        </w:tc>
      </w:tr>
      <w:tr>
        <w:tc>
          <w:tcPr>
            <w:tcW w:type="dxa" w:w="3168"/>
          </w:tcPr>
          <w:p>
            <w:pPr>
              <w:spacing w:before="60" w:after="60"/>
            </w:pPr>
            <w:r>
              <w:t>Prepared By</w:t>
            </w:r>
          </w:p>
        </w:tc>
        <w:tc>
          <w:tcPr>
            <w:tcW w:type="dxa" w:w="5904"/>
          </w:tcPr>
          <w:p>
            <w:pPr>
              <w:spacing w:before="60" w:after="60"/>
            </w:pPr>
            <w:r>
              <w:t>Intelli-Credit AI Engine v3.0</w:t>
            </w:r>
          </w:p>
        </w:tc>
      </w:tr>
      <w:tr>
        <w:tc>
          <w:tcPr>
            <w:tcW w:type="dxa" w:w="3168"/>
            <w:shd w:val="clear" w:color="auto" w:fill="F4F6F7"/>
          </w:tcPr>
          <w:p>
            <w:pPr>
              <w:spacing w:before="60" w:after="60"/>
            </w:pPr>
            <w:r>
              <w:t>CAM Reference</w:t>
            </w:r>
          </w:p>
        </w:tc>
        <w:tc>
          <w:tcPr>
            <w:tcW w:type="dxa" w:w="5904"/>
            <w:shd w:val="clear" w:color="auto" w:fill="F4F6F7"/>
          </w:tcPr>
          <w:p>
            <w:pPr>
              <w:spacing w:before="60" w:after="60"/>
            </w:pPr>
            <w:r>
              <w:t>CAM/TEST_GEMINI_001/202603</w:t>
            </w:r>
          </w:p>
        </w:tc>
      </w:tr>
    </w:tbl>
    <w:p/>
    <w:p>
      <w:r>
        <w:br w:type="page"/>
      </w:r>
    </w:p>
    <w:p>
      <w:pPr>
        <w:pBdr>
          <w:bottom w:val="single" w:sz="8" w:space="1" w:color="1B365D"/>
        </w:pBdr>
        <w:spacing w:before="0" w:after="40"/>
      </w:pPr>
    </w:p>
    <w:p>
      <w:pPr>
        <w:spacing w:before="120" w:after="80"/>
      </w:pPr>
      <w:r>
        <w:rPr>
          <w:b/>
          <w:color w:val="1B365D"/>
          <w:sz w:val="28"/>
        </w:rPr>
        <w:t>SECTION 1 — EXECUTIVE SUMMARY &amp; RECOMMENDATION</w:t>
      </w:r>
    </w:p>
    <w:p>
      <w:pPr>
        <w:spacing w:after="120"/>
      </w:pPr>
      <w:r>
        <w:rPr>
          <w:b/>
          <w:color w:val="D46F0D"/>
          <w:sz w:val="18"/>
        </w:rPr>
        <w:t xml:space="preserve"> Composite Score: 59/100 [AMBER] </w:t>
      </w:r>
    </w:p>
    <w:p>
      <w:pPr>
        <w:spacing w:before="80" w:after="120" w:line="280" w:lineRule="exact"/>
      </w:pPr>
      <w:r>
        <w:rPr>
          <w:sz w:val="20"/>
        </w:rPr>
        <w:t>The credit committee has reached a decision of CONDITIONAL APPROVAL for Bhushan Power and Steel Limited, recommending a working capital limit of ₹5.00 Crore at an interest rate of 9.50% p.a., placing the account in the AMBER risk band. The approval is primarily driven by a strong Character score of 100/100, and a Capital score of 62/100. The primary risk factor identified is that the collateral data is currently under review. As conditions precedent to disbursement, the bank requires execution of all security documents, including the loan agreement, hypothecation deed, and mortgage deed, as well as submission of the latest audited financial statements, which must be within 6 months of the financial year-end.</w:t>
      </w:r>
    </w:p>
    <w:p/>
    <w:p>
      <w:pPr>
        <w:pBdr>
          <w:bottom w:val="single" w:sz="8" w:space="1" w:color="1B365D"/>
        </w:pBdr>
        <w:spacing w:before="0" w:after="40"/>
      </w:pPr>
    </w:p>
    <w:p>
      <w:pPr>
        <w:spacing w:before="120" w:after="80"/>
      </w:pPr>
      <w:r>
        <w:rPr>
          <w:b/>
          <w:color w:val="1B365D"/>
          <w:sz w:val="28"/>
        </w:rPr>
        <w:t>SECTION 2 — COMPANY PROFILE</w:t>
      </w:r>
    </w:p>
    <w:tbl>
      <w:tblPr>
        <w:tblStyle w:val="TableGrid"/>
        <w:tblW w:type="auto" w:w="0"/>
        <w:tblLook w:firstColumn="1" w:firstRow="1" w:lastColumn="0" w:lastRow="0" w:noHBand="0" w:noVBand="1" w:val="04A0"/>
      </w:tblPr>
      <w:tblGrid>
        <w:gridCol w:w="3168"/>
        <w:gridCol w:w="5904"/>
      </w:tblGrid>
      <w:tr>
        <w:tc>
          <w:tcPr>
            <w:tcW w:type="dxa" w:w="3168"/>
            <w:shd w:val="clear" w:color="auto" w:fill="F4F6F7"/>
          </w:tcPr>
          <w:p>
            <w:pPr>
              <w:spacing w:before="60" w:after="60"/>
            </w:pPr>
            <w:r>
              <w:t>Legal Name</w:t>
            </w:r>
          </w:p>
        </w:tc>
        <w:tc>
          <w:tcPr>
            <w:tcW w:type="dxa" w:w="5904"/>
            <w:shd w:val="clear" w:color="auto" w:fill="F4F6F7"/>
          </w:tcPr>
          <w:p>
            <w:pPr>
              <w:spacing w:before="60" w:after="60"/>
            </w:pPr>
            <w:r>
              <w:t>Bhushan Power and Steel Limited</w:t>
            </w:r>
          </w:p>
        </w:tc>
      </w:tr>
      <w:tr>
        <w:tc>
          <w:tcPr>
            <w:tcW w:type="dxa" w:w="3168"/>
          </w:tcPr>
          <w:p>
            <w:pPr>
              <w:spacing w:before="60" w:after="60"/>
            </w:pPr>
            <w:r>
              <w:t>Corporate Identity No.</w:t>
            </w:r>
          </w:p>
        </w:tc>
        <w:tc>
          <w:tcPr>
            <w:tcW w:type="dxa" w:w="5904"/>
          </w:tcPr>
          <w:p>
            <w:pPr>
              <w:spacing w:before="60" w:after="60"/>
            </w:pPr>
            <w:r>
              <w:t>U27100DL1999PLC108350</w:t>
            </w:r>
          </w:p>
        </w:tc>
      </w:tr>
      <w:tr>
        <w:tc>
          <w:tcPr>
            <w:tcW w:type="dxa" w:w="3168"/>
            <w:shd w:val="clear" w:color="auto" w:fill="F4F6F7"/>
          </w:tcPr>
          <w:p>
            <w:pPr>
              <w:spacing w:before="60" w:after="60"/>
            </w:pPr>
            <w:r>
              <w:t>GSTIN</w:t>
            </w:r>
          </w:p>
        </w:tc>
        <w:tc>
          <w:tcPr>
            <w:tcW w:type="dxa" w:w="5904"/>
            <w:shd w:val="clear" w:color="auto" w:fill="F4F6F7"/>
          </w:tcPr>
          <w:p>
            <w:pPr>
              <w:spacing w:before="60" w:after="60"/>
            </w:pPr>
            <w:r>
              <w:t>27AAAAA0000A1Z5</w:t>
            </w:r>
          </w:p>
        </w:tc>
      </w:tr>
      <w:tr>
        <w:tc>
          <w:tcPr>
            <w:tcW w:type="dxa" w:w="3168"/>
          </w:tcPr>
          <w:p>
            <w:pPr>
              <w:spacing w:before="60" w:after="60"/>
            </w:pPr>
            <w:r>
              <w:t>Industry / Sector</w:t>
            </w:r>
          </w:p>
        </w:tc>
        <w:tc>
          <w:tcPr>
            <w:tcW w:type="dxa" w:w="5904"/>
          </w:tcPr>
          <w:p>
            <w:pPr>
              <w:spacing w:before="60" w:after="60"/>
            </w:pPr>
            <w:r>
              <w:t>Iron &amp; Steel</w:t>
            </w:r>
          </w:p>
        </w:tc>
      </w:tr>
      <w:tr>
        <w:tc>
          <w:tcPr>
            <w:tcW w:type="dxa" w:w="3168"/>
            <w:shd w:val="clear" w:color="auto" w:fill="F4F6F7"/>
          </w:tcPr>
          <w:p>
            <w:pPr>
              <w:spacing w:before="60" w:after="60"/>
            </w:pPr>
            <w:r>
              <w:t>Registered Address</w:t>
            </w:r>
          </w:p>
        </w:tc>
        <w:tc>
          <w:tcPr>
            <w:tcW w:type="dxa" w:w="5904"/>
            <w:shd w:val="clear" w:color="auto" w:fill="F4F6F7"/>
          </w:tcPr>
          <w:p>
            <w:pPr>
              <w:spacing w:before="60" w:after="60"/>
            </w:pPr>
            <w:r>
              <w:t>4th Floor, A-2, NTH Complex, Shaheed Jeet Singh Marg, USO Road, Qutab Institutional Area, South Delhi, New Delhi - 110067</w:t>
            </w:r>
          </w:p>
        </w:tc>
      </w:tr>
      <w:tr>
        <w:tc>
          <w:tcPr>
            <w:tcW w:type="dxa" w:w="3168"/>
          </w:tcPr>
          <w:p>
            <w:pPr>
              <w:spacing w:before="60" w:after="60"/>
            </w:pPr>
            <w:r>
              <w:t>Incorporation Year</w:t>
            </w:r>
          </w:p>
        </w:tc>
        <w:tc>
          <w:tcPr>
            <w:tcW w:type="dxa" w:w="5904"/>
          </w:tcPr>
          <w:p>
            <w:pPr>
              <w:spacing w:before="60" w:after="60"/>
            </w:pPr>
            <w:r>
              <w:t>1999</w:t>
            </w:r>
          </w:p>
        </w:tc>
      </w:tr>
      <w:tr>
        <w:tc>
          <w:tcPr>
            <w:tcW w:type="dxa" w:w="3168"/>
            <w:shd w:val="clear" w:color="auto" w:fill="F4F6F7"/>
          </w:tcPr>
          <w:p>
            <w:pPr>
              <w:spacing w:before="60" w:after="60"/>
            </w:pPr>
            <w:r>
              <w:t>Promoter Shareholding</w:t>
            </w:r>
          </w:p>
        </w:tc>
        <w:tc>
          <w:tcPr>
            <w:tcW w:type="dxa" w:w="5904"/>
            <w:shd w:val="clear" w:color="auto" w:fill="F4F6F7"/>
          </w:tcPr>
          <w:p>
            <w:pPr>
              <w:spacing w:before="60" w:after="60"/>
            </w:pPr>
            <w:r>
              <w:t>83.3%</w:t>
            </w:r>
          </w:p>
        </w:tc>
      </w:tr>
      <w:tr>
        <w:tc>
          <w:tcPr>
            <w:tcW w:type="dxa" w:w="3168"/>
          </w:tcPr>
          <w:p>
            <w:pPr>
              <w:spacing w:before="60" w:after="60"/>
            </w:pPr>
            <w:r>
              <w:t>Loan Amount Requested</w:t>
            </w:r>
          </w:p>
        </w:tc>
        <w:tc>
          <w:tcPr>
            <w:tcW w:type="dxa" w:w="5904"/>
          </w:tcPr>
          <w:p>
            <w:pPr>
              <w:spacing w:before="60" w:after="60"/>
            </w:pPr>
            <w:r>
              <w:t>₹5.00 Crore</w:t>
            </w:r>
          </w:p>
        </w:tc>
      </w:tr>
      <w:tr>
        <w:tc>
          <w:tcPr>
            <w:tcW w:type="dxa" w:w="3168"/>
            <w:shd w:val="clear" w:color="auto" w:fill="F4F6F7"/>
          </w:tcPr>
          <w:p>
            <w:pPr>
              <w:spacing w:before="60" w:after="60"/>
            </w:pPr>
            <w:r>
              <w:t>Loan Type</w:t>
            </w:r>
          </w:p>
        </w:tc>
        <w:tc>
          <w:tcPr>
            <w:tcW w:type="dxa" w:w="5904"/>
            <w:shd w:val="clear" w:color="auto" w:fill="F4F6F7"/>
          </w:tcPr>
          <w:p>
            <w:pPr>
              <w:spacing w:before="60" w:after="60"/>
            </w:pPr>
            <w:r>
              <w:t>Working Capital</w:t>
            </w:r>
          </w:p>
        </w:tc>
      </w:tr>
      <w:tr>
        <w:tc>
          <w:tcPr>
            <w:tcW w:type="dxa" w:w="3168"/>
          </w:tcPr>
          <w:p>
            <w:pPr>
              <w:spacing w:before="60" w:after="60"/>
            </w:pPr>
            <w:r>
              <w:t>Tenor</w:t>
            </w:r>
          </w:p>
        </w:tc>
        <w:tc>
          <w:tcPr>
            <w:tcW w:type="dxa" w:w="5904"/>
          </w:tcPr>
          <w:p>
            <w:pPr>
              <w:spacing w:before="60" w:after="60"/>
            </w:pPr>
            <w:r>
              <w:t>36 months</w:t>
            </w:r>
          </w:p>
        </w:tc>
      </w:tr>
      <w:tr>
        <w:tc>
          <w:tcPr>
            <w:tcW w:type="dxa" w:w="3168"/>
            <w:shd w:val="clear" w:color="auto" w:fill="F4F6F7"/>
          </w:tcPr>
          <w:p>
            <w:pPr>
              <w:spacing w:before="60" w:after="60"/>
            </w:pPr>
            <w:r>
              <w:t>Purpose</w:t>
            </w:r>
          </w:p>
        </w:tc>
        <w:tc>
          <w:tcPr>
            <w:tcW w:type="dxa" w:w="5904"/>
            <w:shd w:val="clear" w:color="auto" w:fill="F4F6F7"/>
          </w:tcPr>
          <w:p>
            <w:pPr>
              <w:spacing w:before="60" w:after="60"/>
            </w:pPr>
            <w:r>
              <w:t>Working capital requirements</w:t>
            </w:r>
          </w:p>
        </w:tc>
      </w:tr>
    </w:tbl>
    <w:p/>
    <w:p/>
    <w:p/>
    <w:p>
      <w:pPr>
        <w:pBdr>
          <w:bottom w:val="single" w:sz="8" w:space="1" w:color="1B365D"/>
        </w:pBdr>
        <w:spacing w:before="0" w:after="40"/>
      </w:pPr>
    </w:p>
    <w:p>
      <w:pPr>
        <w:spacing w:before="120" w:after="80"/>
      </w:pPr>
      <w:r>
        <w:rPr>
          <w:b/>
          <w:color w:val="1B365D"/>
          <w:sz w:val="28"/>
        </w:rPr>
        <w:t>SECTION 3 — CHARACTER (Five Cs — C1)</w:t>
      </w:r>
    </w:p>
    <w:p>
      <w:pPr>
        <w:spacing w:after="120"/>
      </w:pPr>
      <w:r>
        <w:rPr>
          <w:b/>
          <w:color w:val="1E8B4C"/>
          <w:sz w:val="18"/>
        </w:rPr>
        <w:t xml:space="preserve"> Character Score: 100/100 [GREEN] </w:t>
      </w:r>
    </w:p>
    <w:p>
      <w:pPr>
        <w:spacing w:before="80" w:after="120" w:line="280" w:lineRule="exact"/>
      </w:pPr>
      <w:r>
        <w:rPr>
          <w:sz w:val="20"/>
        </w:rPr>
        <w:t>Bhushan Power and Steel Limited (CIN: U27100DL1999PLC108350) operates in the iron and steel industry. Due to the absence of promoter data, a detailed assessment of promoter background, including DIN status, years of business experience, and primary industry expertise, cannot be conducted. This lack of information limits the ability to evaluate the promoters' historical performance and its potential impact on the company's future operations. Further investigation into the current ownership and management structure is warranted.</w:t>
        <w:br/>
        <w:br/>
        <w:t>No adverse findings were detected across RBI wilful defaulter database, eCourts litigation records, MCA21 director history, or news surveillance. Specifically, the RBI Wilful Defaulter check did not flag Bhushan Power and Steel Limited. A search of eCourts litigation records revealed no cases associated with the company. Review of MCA director history yielded no adverse findings. Furthermore, news surveillance did not detect any negative signals related to the company or its key personnel.</w:t>
        <w:br/>
        <w:br/>
        <w:t>Based on the available information, the character assessment for Bhushan Power and Steel Limited is positive, supported by a character score of 100/100. The absence of adverse flags from regulatory checks and news sources indicates a clean track record, albeit limited by the lack of promoter information. Further due diligence is recommended to gather more comprehensive details on the company's leadership.</w:t>
      </w:r>
    </w:p>
    <w:p/>
    <w:p>
      <w:pPr>
        <w:spacing w:before="80" w:after="40"/>
      </w:pPr>
      <w:r>
        <w:rPr>
          <w:b/>
          <w:color w:val="2C3E50"/>
          <w:sz w:val="24"/>
        </w:rPr>
        <w:t>Score Breakdown</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365D"/>
          </w:tcPr>
          <w:p>
            <w:pPr>
              <w:spacing w:before="60" w:after="60"/>
            </w:pPr>
            <w:r>
              <w:rPr>
                <w:b/>
                <w:color w:val="FFFFFF"/>
                <w:sz w:val="18"/>
              </w:rPr>
              <w:t>Sub-dimension</w:t>
            </w:r>
          </w:p>
        </w:tc>
        <w:tc>
          <w:tcPr>
            <w:tcW w:type="dxa" w:w="2493"/>
            <w:shd w:val="clear" w:color="auto" w:fill="1B365D"/>
          </w:tcPr>
          <w:p>
            <w:pPr>
              <w:spacing w:before="60" w:after="60"/>
            </w:pPr>
            <w:r>
              <w:rPr>
                <w:b/>
                <w:color w:val="FFFFFF"/>
                <w:sz w:val="18"/>
              </w:rPr>
              <w:t>Points Awarded</w:t>
            </w:r>
          </w:p>
        </w:tc>
        <w:tc>
          <w:tcPr>
            <w:tcW w:type="dxa" w:w="2493"/>
            <w:shd w:val="clear" w:color="auto" w:fill="1B365D"/>
          </w:tcPr>
          <w:p>
            <w:pPr>
              <w:spacing w:before="60" w:after="60"/>
            </w:pPr>
            <w:r>
              <w:rPr>
                <w:b/>
                <w:color w:val="FFFFFF"/>
                <w:sz w:val="18"/>
              </w:rPr>
              <w:t>Max Points</w:t>
            </w:r>
          </w:p>
        </w:tc>
        <w:tc>
          <w:tcPr>
            <w:tcW w:type="dxa" w:w="2493"/>
            <w:shd w:val="clear" w:color="auto" w:fill="1B365D"/>
          </w:tcPr>
          <w:p>
            <w:pPr>
              <w:spacing w:before="60" w:after="60"/>
            </w:pPr>
            <w:r>
              <w:rPr>
                <w:b/>
                <w:color w:val="FFFFFF"/>
                <w:sz w:val="18"/>
              </w:rPr>
              <w:t>Benchmark</w:t>
            </w:r>
          </w:p>
        </w:tc>
      </w:tr>
      <w:tr>
        <w:tc>
          <w:tcPr>
            <w:tcW w:type="dxa" w:w="2493"/>
            <w:shd w:val="clear" w:color="auto" w:fill="F4F6F7"/>
          </w:tcPr>
          <w:p>
            <w:pPr>
              <w:spacing w:before="60" w:after="60"/>
            </w:pPr>
            <w:r>
              <w:t>Promoter integrity: 0 CRITICAL, 0 HIGH, 0 MEDIUM flags</w:t>
            </w:r>
          </w:p>
        </w:tc>
        <w:tc>
          <w:tcPr>
            <w:tcW w:type="dxa" w:w="2493"/>
            <w:shd w:val="clear" w:color="auto" w:fill="F4F6F7"/>
          </w:tcPr>
          <w:p>
            <w:pPr>
              <w:spacing w:before="60" w:after="60"/>
            </w:pPr>
            <w:r>
              <w:t>100</w:t>
            </w:r>
          </w:p>
        </w:tc>
        <w:tc>
          <w:tcPr>
            <w:tcW w:type="dxa" w:w="2493"/>
            <w:shd w:val="clear" w:color="auto" w:fill="F4F6F7"/>
          </w:tcPr>
          <w:p>
            <w:pPr>
              <w:spacing w:before="60" w:after="60"/>
            </w:pPr>
            <w:r>
              <w:t>100</w:t>
            </w:r>
          </w:p>
        </w:tc>
        <w:tc>
          <w:tcPr>
            <w:tcW w:type="dxa" w:w="2493"/>
            <w:shd w:val="clear" w:color="auto" w:fill="F4F6F7"/>
          </w:tcPr>
          <w:p>
            <w:pPr>
              <w:spacing w:before="60" w:after="60"/>
            </w:pPr>
            <w:r>
              <w:t>Research agent: RBI + MCA + News promoter signals</w:t>
            </w:r>
          </w:p>
        </w:tc>
      </w:tr>
    </w:tbl>
    <w:p/>
    <w:p/>
    <w:p>
      <w:pPr>
        <w:pBdr>
          <w:bottom w:val="single" w:sz="8" w:space="1" w:color="1B365D"/>
        </w:pBdr>
        <w:spacing w:before="0" w:after="40"/>
      </w:pPr>
    </w:p>
    <w:p>
      <w:pPr>
        <w:spacing w:before="120" w:after="80"/>
      </w:pPr>
      <w:r>
        <w:rPr>
          <w:b/>
          <w:color w:val="1B365D"/>
          <w:sz w:val="28"/>
        </w:rPr>
        <w:t>SECTION 4 — CAPACITY (Five Cs — C2)</w:t>
      </w:r>
    </w:p>
    <w:p>
      <w:pPr>
        <w:spacing w:after="120"/>
      </w:pPr>
      <w:r>
        <w:rPr>
          <w:b/>
          <w:color w:val="AB2B1E"/>
          <w:sz w:val="18"/>
        </w:rPr>
        <w:t xml:space="preserve"> Capacity Score: 12/100 [BLACK] </w:t>
      </w:r>
    </w:p>
    <w:p>
      <w:pPr>
        <w:spacing w:before="80" w:after="40"/>
      </w:pPr>
      <w:r>
        <w:rPr>
          <w:b/>
          <w:color w:val="2C3E50"/>
          <w:sz w:val="24"/>
        </w:rPr>
        <w:t>3-Year Financial Performance</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365D"/>
          </w:tcPr>
          <w:p>
            <w:pPr>
              <w:spacing w:before="60" w:after="60"/>
            </w:pPr>
            <w:r>
              <w:rPr>
                <w:b/>
                <w:color w:val="FFFFFF"/>
                <w:sz w:val="18"/>
              </w:rPr>
              <w:t>Metric (₹ Crore)</w:t>
            </w:r>
          </w:p>
        </w:tc>
        <w:tc>
          <w:tcPr>
            <w:tcW w:type="dxa" w:w="2493"/>
            <w:shd w:val="clear" w:color="auto" w:fill="1B365D"/>
          </w:tcPr>
          <w:p>
            <w:pPr>
              <w:spacing w:before="60" w:after="60"/>
            </w:pPr>
            <w:r>
              <w:rPr>
                <w:b/>
                <w:color w:val="FFFFFF"/>
                <w:sz w:val="18"/>
              </w:rPr>
              <w:t>FY2023</w:t>
            </w:r>
          </w:p>
        </w:tc>
        <w:tc>
          <w:tcPr>
            <w:tcW w:type="dxa" w:w="2493"/>
            <w:shd w:val="clear" w:color="auto" w:fill="1B365D"/>
          </w:tcPr>
          <w:p>
            <w:pPr>
              <w:spacing w:before="60" w:after="60"/>
            </w:pPr>
            <w:r>
              <w:rPr>
                <w:b/>
                <w:color w:val="FFFFFF"/>
                <w:sz w:val="18"/>
              </w:rPr>
              <w:t>FY2024</w:t>
            </w:r>
          </w:p>
        </w:tc>
        <w:tc>
          <w:tcPr>
            <w:tcW w:type="dxa" w:w="2493"/>
            <w:shd w:val="clear" w:color="auto" w:fill="1B365D"/>
          </w:tcPr>
          <w:p>
            <w:pPr>
              <w:spacing w:before="60" w:after="60"/>
            </w:pPr>
            <w:r>
              <w:rPr>
                <w:b/>
                <w:color w:val="FFFFFF"/>
                <w:sz w:val="18"/>
              </w:rPr>
              <w:t>9M FY25*</w:t>
            </w:r>
          </w:p>
        </w:tc>
      </w:tr>
      <w:tr>
        <w:tc>
          <w:tcPr>
            <w:tcW w:type="dxa" w:w="2493"/>
            <w:shd w:val="clear" w:color="auto" w:fill="F4F6F7"/>
          </w:tcPr>
          <w:p>
            <w:pPr>
              <w:spacing w:before="60" w:after="60"/>
            </w:pPr>
            <w:r>
              <w:t>Total Revenue</w:t>
            </w:r>
          </w:p>
        </w:tc>
        <w:tc>
          <w:tcPr>
            <w:tcW w:type="dxa" w:w="2493"/>
            <w:shd w:val="clear" w:color="auto" w:fill="F4F6F7"/>
          </w:tcPr>
          <w:p>
            <w:pPr>
              <w:spacing w:before="60" w:after="60"/>
            </w:pPr>
            <w:r>
              <w:t>20077</w:t>
            </w:r>
          </w:p>
        </w:tc>
        <w:tc>
          <w:tcPr>
            <w:tcW w:type="dxa" w:w="2493"/>
            <w:shd w:val="clear" w:color="auto" w:fill="F4F6F7"/>
          </w:tcPr>
          <w:p>
            <w:pPr>
              <w:spacing w:before="60" w:after="60"/>
            </w:pPr>
            <w:r>
              <w:t>21893</w:t>
            </w:r>
          </w:p>
        </w:tc>
        <w:tc>
          <w:tcPr>
            <w:tcW w:type="dxa" w:w="2493"/>
            <w:shd w:val="clear" w:color="auto" w:fill="F4F6F7"/>
          </w:tcPr>
          <w:p>
            <w:pPr>
              <w:spacing w:before="60" w:after="60"/>
            </w:pPr>
            <w:r>
              <w:t>16029</w:t>
            </w:r>
          </w:p>
        </w:tc>
      </w:tr>
      <w:tr>
        <w:tc>
          <w:tcPr>
            <w:tcW w:type="dxa" w:w="2493"/>
          </w:tcPr>
          <w:p>
            <w:pPr>
              <w:spacing w:before="60" w:after="60"/>
            </w:pPr>
            <w:r>
              <w:t>EBITDA</w:t>
            </w:r>
          </w:p>
        </w:tc>
        <w:tc>
          <w:tcPr>
            <w:tcW w:type="dxa" w:w="2493"/>
          </w:tcPr>
          <w:p>
            <w:pPr>
              <w:spacing w:before="60" w:after="60"/>
            </w:pPr>
            <w:r>
              <w:t>1806</w:t>
            </w:r>
          </w:p>
        </w:tc>
        <w:tc>
          <w:tcPr>
            <w:tcW w:type="dxa" w:w="2493"/>
          </w:tcPr>
          <w:p>
            <w:pPr>
              <w:spacing w:before="60" w:after="60"/>
            </w:pPr>
            <w:r>
              <w:t>2765</w:t>
            </w:r>
          </w:p>
        </w:tc>
        <w:tc>
          <w:tcPr>
            <w:tcW w:type="dxa" w:w="2493"/>
          </w:tcPr>
          <w:p>
            <w:pPr>
              <w:spacing w:before="60" w:after="60"/>
            </w:pPr>
            <w:r>
              <w:t>1882</w:t>
            </w:r>
          </w:p>
        </w:tc>
      </w:tr>
      <w:tr>
        <w:tc>
          <w:tcPr>
            <w:tcW w:type="dxa" w:w="2493"/>
            <w:shd w:val="clear" w:color="auto" w:fill="F4F6F7"/>
          </w:tcPr>
          <w:p>
            <w:pPr>
              <w:spacing w:before="60" w:after="60"/>
            </w:pPr>
            <w:r>
              <w:t>PAT</w:t>
            </w:r>
          </w:p>
        </w:tc>
        <w:tc>
          <w:tcPr>
            <w:tcW w:type="dxa" w:w="2493"/>
            <w:shd w:val="clear" w:color="auto" w:fill="F4F6F7"/>
          </w:tcPr>
          <w:p>
            <w:pPr>
              <w:spacing w:before="60" w:after="60"/>
            </w:pPr>
            <w:r>
              <w:t>160</w:t>
            </w:r>
          </w:p>
        </w:tc>
        <w:tc>
          <w:tcPr>
            <w:tcW w:type="dxa" w:w="2493"/>
            <w:shd w:val="clear" w:color="auto" w:fill="F4F6F7"/>
          </w:tcPr>
          <w:p>
            <w:pPr>
              <w:spacing w:before="60" w:after="60"/>
            </w:pPr>
            <w:r>
              <w:t>674</w:t>
            </w:r>
          </w:p>
        </w:tc>
        <w:tc>
          <w:tcPr>
            <w:tcW w:type="dxa" w:w="2493"/>
            <w:shd w:val="clear" w:color="auto" w:fill="F4F6F7"/>
          </w:tcPr>
          <w:p>
            <w:pPr>
              <w:spacing w:before="60" w:after="60"/>
            </w:pPr>
            <w:r>
              <w:t>219</w:t>
            </w:r>
          </w:p>
        </w:tc>
      </w:tr>
      <w:tr>
        <w:tc>
          <w:tcPr>
            <w:tcW w:type="dxa" w:w="2493"/>
          </w:tcPr>
          <w:p>
            <w:pPr>
              <w:spacing w:before="60" w:after="60"/>
            </w:pPr>
            <w:r>
              <w:t>EBITDA Margin %</w:t>
            </w:r>
          </w:p>
        </w:tc>
        <w:tc>
          <w:tcPr>
            <w:tcW w:type="dxa" w:w="2493"/>
          </w:tcPr>
          <w:p>
            <w:pPr>
              <w:spacing w:before="60" w:after="60"/>
            </w:pPr>
            <w:r>
              <w:t>9.0%</w:t>
            </w:r>
          </w:p>
        </w:tc>
        <w:tc>
          <w:tcPr>
            <w:tcW w:type="dxa" w:w="2493"/>
          </w:tcPr>
          <w:p>
            <w:pPr>
              <w:spacing w:before="60" w:after="60"/>
            </w:pPr>
            <w:r>
              <w:t>12.6%</w:t>
            </w:r>
          </w:p>
        </w:tc>
        <w:tc>
          <w:tcPr>
            <w:tcW w:type="dxa" w:w="2493"/>
          </w:tcPr>
          <w:p>
            <w:pPr>
              <w:spacing w:before="60" w:after="60"/>
            </w:pPr>
            <w:r>
              <w:t>11.7%</w:t>
            </w:r>
          </w:p>
        </w:tc>
      </w:tr>
    </w:tbl>
    <w:p/>
    <w:p>
      <w:pPr>
        <w:spacing w:before="80" w:after="40"/>
      </w:pPr>
      <w:r>
        <w:rPr>
          <w:b/>
          <w:color w:val="2C3E50"/>
          <w:sz w:val="24"/>
        </w:rPr>
        <w:t>Key Repayment Ratios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365D"/>
          </w:tcPr>
          <w:p>
            <w:pPr>
              <w:spacing w:before="60" w:after="60"/>
            </w:pPr>
            <w:r>
              <w:rPr>
                <w:b/>
                <w:color w:val="FFFFFF"/>
                <w:sz w:val="18"/>
              </w:rPr>
              <w:t>Metric</w:t>
            </w:r>
          </w:p>
        </w:tc>
        <w:tc>
          <w:tcPr>
            <w:tcW w:type="dxa" w:w="2493"/>
            <w:shd w:val="clear" w:color="auto" w:fill="1B365D"/>
          </w:tcPr>
          <w:p>
            <w:pPr>
              <w:spacing w:before="60" w:after="60"/>
            </w:pPr>
            <w:r>
              <w:rPr>
                <w:b/>
                <w:color w:val="FFFFFF"/>
                <w:sz w:val="18"/>
              </w:rPr>
              <w:t>Value</w:t>
            </w:r>
          </w:p>
        </w:tc>
        <w:tc>
          <w:tcPr>
            <w:tcW w:type="dxa" w:w="2493"/>
            <w:shd w:val="clear" w:color="auto" w:fill="1B365D"/>
          </w:tcPr>
          <w:p>
            <w:pPr>
              <w:spacing w:before="60" w:after="60"/>
            </w:pPr>
            <w:r>
              <w:rPr>
                <w:b/>
                <w:color w:val="FFFFFF"/>
                <w:sz w:val="18"/>
              </w:rPr>
              <w:t>Status</w:t>
            </w:r>
          </w:p>
        </w:tc>
        <w:tc>
          <w:tcPr>
            <w:tcW w:type="dxa" w:w="2493"/>
            <w:shd w:val="clear" w:color="auto" w:fill="1B365D"/>
          </w:tcPr>
          <w:p>
            <w:pPr>
              <w:spacing w:before="60" w:after="60"/>
            </w:pPr>
            <w:r>
              <w:rPr>
                <w:b/>
                <w:color w:val="FFFFFF"/>
                <w:sz w:val="18"/>
              </w:rPr>
              <w:t>Note</w:t>
            </w:r>
          </w:p>
        </w:tc>
      </w:tr>
      <w:tr>
        <w:tc>
          <w:tcPr>
            <w:tcW w:type="dxa" w:w="2493"/>
          </w:tcPr>
          <w:p>
            <w:r>
              <w:t>Interest Coverage</w:t>
            </w:r>
          </w:p>
        </w:tc>
        <w:tc>
          <w:tcPr>
            <w:tcW w:type="dxa" w:w="2493"/>
          </w:tcPr>
          <w:p>
            <w:r>
              <w:t>2.96x</w:t>
            </w:r>
          </w:p>
        </w:tc>
        <w:tc>
          <w:tcPr>
            <w:tcW w:type="dxa" w:w="2493"/>
          </w:tcPr>
          <w:p>
            <w:r>
              <w:rPr>
                <w:color w:val="D46F0D"/>
              </w:rPr>
              <w:t>~</w:t>
            </w:r>
          </w:p>
        </w:tc>
        <w:tc>
          <w:tcPr>
            <w:tcW w:type="dxa" w:w="2493"/>
          </w:tcPr>
          <w:p>
            <w:r>
              <w:t>Adequate: ≥2x</w:t>
            </w:r>
          </w:p>
        </w:tc>
      </w:tr>
    </w:tbl>
    <w:p/>
    <w:p>
      <w:pPr>
        <w:spacing w:before="80" w:after="120" w:line="280" w:lineRule="exact"/>
      </w:pPr>
      <w:r>
        <w:rPr>
          <w:sz w:val="20"/>
        </w:rPr>
        <w:t>Bhushan Power and Steel Limited's revenue increased from ₹20,077.00 crore in FY2023 to ₹21,893.00 crore in FY2024, but the 9-month annualized revenue for FY2025 is ₹16,029.00 crore, indicating a revenue CAGR of -10.6%. The EBITDA margin improved from 9.0% in FY2023 to 12.6% in FY2024, suggesting improved operating efficiency, before compressing slightly to 11.7% in 9M_FY2025. The Profit After Tax (PAT) increased significantly from ₹160.00 crore in FY2023 to ₹674.00 crore in FY2024, before decreasing to ₹219.00 crore in 9M_FY2025. These figures must be viewed in the context of cyclicality inherent in the steel industry.</w:t>
        <w:br/>
        <w:br/>
        <w:t>The Debt Service Coverage Ratio (DSCR) is 0.00x, significantly below the RBI's stipulated minimum of 1.25x, indicating a severe deficiency in the borrower's ability to service debt obligations from its earnings. The Interest Coverage Ratio (ICR) is 2.96x, which is above the bank's benchmark of 2.00x, suggesting adequate capacity to cover interest expenses. However, the extremely low DSCR overrides the adequate ICR, indicating that the overall repayment capacity is critically tight.</w:t>
        <w:br/>
        <w:br/>
        <w:t>The Cash Flow from Operations (CFO) was ₹0.00 crore in FY2023, FY2024, and 9M_FY2025. The CFO/PAT ratio is therefore 0.00x. The CFO remaining at zero for three consecutive periods raises concerns about the quality of earnings and the company's ability to generate cash from its core operations.</w:t>
      </w:r>
    </w:p>
    <w:p>
      <w:pPr>
        <w:spacing w:before="80" w:after="40"/>
      </w:pPr>
      <w:r>
        <w:rPr>
          <w:b/>
          <w:color w:val="2C3E50"/>
          <w:sz w:val="24"/>
        </w:rPr>
        <w:t>Score Breakdown</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365D"/>
          </w:tcPr>
          <w:p>
            <w:pPr>
              <w:spacing w:before="60" w:after="60"/>
            </w:pPr>
            <w:r>
              <w:rPr>
                <w:b/>
                <w:color w:val="FFFFFF"/>
                <w:sz w:val="18"/>
              </w:rPr>
              <w:t>Sub-dimension</w:t>
            </w:r>
          </w:p>
        </w:tc>
        <w:tc>
          <w:tcPr>
            <w:tcW w:type="dxa" w:w="2493"/>
            <w:shd w:val="clear" w:color="auto" w:fill="1B365D"/>
          </w:tcPr>
          <w:p>
            <w:pPr>
              <w:spacing w:before="60" w:after="60"/>
            </w:pPr>
            <w:r>
              <w:rPr>
                <w:b/>
                <w:color w:val="FFFFFF"/>
                <w:sz w:val="18"/>
              </w:rPr>
              <w:t>Points Awarded</w:t>
            </w:r>
          </w:p>
        </w:tc>
        <w:tc>
          <w:tcPr>
            <w:tcW w:type="dxa" w:w="2493"/>
            <w:shd w:val="clear" w:color="auto" w:fill="1B365D"/>
          </w:tcPr>
          <w:p>
            <w:pPr>
              <w:spacing w:before="60" w:after="60"/>
            </w:pPr>
            <w:r>
              <w:rPr>
                <w:b/>
                <w:color w:val="FFFFFF"/>
                <w:sz w:val="18"/>
              </w:rPr>
              <w:t>Max Points</w:t>
            </w:r>
          </w:p>
        </w:tc>
        <w:tc>
          <w:tcPr>
            <w:tcW w:type="dxa" w:w="2493"/>
            <w:shd w:val="clear" w:color="auto" w:fill="1B365D"/>
          </w:tcPr>
          <w:p>
            <w:pPr>
              <w:spacing w:before="60" w:after="60"/>
            </w:pPr>
            <w:r>
              <w:rPr>
                <w:b/>
                <w:color w:val="FFFFFF"/>
                <w:sz w:val="18"/>
              </w:rPr>
              <w:t>Benchmark</w:t>
            </w:r>
          </w:p>
        </w:tc>
      </w:tr>
      <w:tr>
        <w:tc>
          <w:tcPr>
            <w:tcW w:type="dxa" w:w="2493"/>
            <w:shd w:val="clear" w:color="auto" w:fill="F4F6F7"/>
          </w:tcPr>
          <w:p>
            <w:pPr>
              <w:spacing w:before="60" w:after="60"/>
            </w:pPr>
            <w:r>
              <w:t>DSCR not available — 0 pts</w:t>
            </w:r>
          </w:p>
        </w:tc>
        <w:tc>
          <w:tcPr>
            <w:tcW w:type="dxa" w:w="2493"/>
            <w:shd w:val="clear" w:color="auto" w:fill="F4F6F7"/>
          </w:tcPr>
          <w:p>
            <w:pPr>
              <w:spacing w:before="60" w:after="60"/>
            </w:pPr>
            <w:r>
              <w:t>0</w:t>
            </w:r>
          </w:p>
        </w:tc>
        <w:tc>
          <w:tcPr>
            <w:tcW w:type="dxa" w:w="2493"/>
            <w:shd w:val="clear" w:color="auto" w:fill="F4F6F7"/>
          </w:tcPr>
          <w:p>
            <w:pPr>
              <w:spacing w:before="60" w:after="60"/>
            </w:pPr>
            <w:r>
              <w:t>40</w:t>
            </w:r>
          </w:p>
        </w:tc>
        <w:tc>
          <w:tcPr>
            <w:tcW w:type="dxa" w:w="2493"/>
            <w:shd w:val="clear" w:color="auto" w:fill="F4F6F7"/>
          </w:tcPr>
          <w:p>
            <w:pPr>
              <w:spacing w:before="60" w:after="60"/>
            </w:pPr>
            <w:r>
              <w:t>Benchmark: DSCR ≥2.0x = 40pts, ≥1.5x = 30pts, ≥1.25x = 20pts</w:t>
            </w:r>
          </w:p>
        </w:tc>
      </w:tr>
      <w:tr>
        <w:tc>
          <w:tcPr>
            <w:tcW w:type="dxa" w:w="2493"/>
          </w:tcPr>
          <w:p>
            <w:pPr>
              <w:spacing w:before="60" w:after="60"/>
            </w:pPr>
            <w:r>
              <w:t>ICR 2.96x → 12 pts (moderate, 2–3x)</w:t>
            </w:r>
          </w:p>
        </w:tc>
        <w:tc>
          <w:tcPr>
            <w:tcW w:type="dxa" w:w="2493"/>
          </w:tcPr>
          <w:p>
            <w:pPr>
              <w:spacing w:before="60" w:after="60"/>
            </w:pPr>
            <w:r>
              <w:t>12</w:t>
            </w:r>
          </w:p>
        </w:tc>
        <w:tc>
          <w:tcPr>
            <w:tcW w:type="dxa" w:w="2493"/>
          </w:tcPr>
          <w:p>
            <w:pPr>
              <w:spacing w:before="60" w:after="60"/>
            </w:pPr>
            <w:r>
              <w:t>25</w:t>
            </w:r>
          </w:p>
        </w:tc>
        <w:tc>
          <w:tcPr>
            <w:tcW w:type="dxa" w:w="2493"/>
          </w:tcPr>
          <w:p>
            <w:pPr>
              <w:spacing w:before="60" w:after="60"/>
            </w:pPr>
            <w:r>
              <w:t>Benchmark: ICR ≥4x = 25pts, ≥3x = 20pts, ≥2x = 12pts</w:t>
            </w:r>
          </w:p>
        </w:tc>
      </w:tr>
      <w:tr>
        <w:tc>
          <w:tcPr>
            <w:tcW w:type="dxa" w:w="2493"/>
            <w:shd w:val="clear" w:color="auto" w:fill="F4F6F7"/>
          </w:tcPr>
          <w:p>
            <w:pPr>
              <w:spacing w:before="60" w:after="60"/>
            </w:pPr>
            <w:r>
              <w:t>CFO negative in latest year → 0 pts (cash drain)</w:t>
            </w:r>
          </w:p>
        </w:tc>
        <w:tc>
          <w:tcPr>
            <w:tcW w:type="dxa" w:w="2493"/>
            <w:shd w:val="clear" w:color="auto" w:fill="F4F6F7"/>
          </w:tcPr>
          <w:p>
            <w:pPr>
              <w:spacing w:before="60" w:after="60"/>
            </w:pPr>
            <w:r>
              <w:t>0</w:t>
            </w:r>
          </w:p>
        </w:tc>
        <w:tc>
          <w:tcPr>
            <w:tcW w:type="dxa" w:w="2493"/>
            <w:shd w:val="clear" w:color="auto" w:fill="F4F6F7"/>
          </w:tcPr>
          <w:p>
            <w:pPr>
              <w:spacing w:before="60" w:after="60"/>
            </w:pPr>
            <w:r>
              <w:t>20</w:t>
            </w:r>
          </w:p>
        </w:tc>
        <w:tc>
          <w:tcPr>
            <w:tcW w:type="dxa" w:w="2493"/>
            <w:shd w:val="clear" w:color="auto" w:fill="F4F6F7"/>
          </w:tcPr>
          <w:p>
            <w:pPr>
              <w:spacing w:before="60" w:after="60"/>
            </w:pPr>
            <w:r>
              <w:t>Benchmark: CFO positive all 3 years = 20pts</w:t>
            </w:r>
          </w:p>
        </w:tc>
      </w:tr>
      <w:tr>
        <w:tc>
          <w:tcPr>
            <w:tcW w:type="dxa" w:w="2493"/>
          </w:tcPr>
          <w:p>
            <w:pPr>
              <w:spacing w:before="60" w:after="60"/>
            </w:pPr>
            <w:r>
              <w:t>Revenue CAGR -10.6% → 0 pts (declining revenue)</w:t>
            </w:r>
          </w:p>
        </w:tc>
        <w:tc>
          <w:tcPr>
            <w:tcW w:type="dxa" w:w="2493"/>
          </w:tcPr>
          <w:p>
            <w:pPr>
              <w:spacing w:before="60" w:after="60"/>
            </w:pPr>
            <w:r>
              <w:t>0</w:t>
            </w:r>
          </w:p>
        </w:tc>
        <w:tc>
          <w:tcPr>
            <w:tcW w:type="dxa" w:w="2493"/>
          </w:tcPr>
          <w:p>
            <w:pPr>
              <w:spacing w:before="60" w:after="60"/>
            </w:pPr>
            <w:r>
              <w:t>15</w:t>
            </w:r>
          </w:p>
        </w:tc>
        <w:tc>
          <w:tcPr>
            <w:tcW w:type="dxa" w:w="2493"/>
          </w:tcPr>
          <w:p>
            <w:pPr>
              <w:spacing w:before="60" w:after="60"/>
            </w:pPr>
            <w:r>
              <w:t>Benchmark: CAGR ≥20% = 15pts, ≥10% = 10pts</w:t>
            </w:r>
          </w:p>
        </w:tc>
      </w:tr>
    </w:tbl>
    <w:p/>
    <w:p/>
    <w:p>
      <w:pPr>
        <w:pBdr>
          <w:bottom w:val="single" w:sz="8" w:space="1" w:color="1B365D"/>
        </w:pBdr>
        <w:spacing w:before="0" w:after="40"/>
      </w:pPr>
    </w:p>
    <w:p>
      <w:pPr>
        <w:spacing w:before="120" w:after="80"/>
      </w:pPr>
      <w:r>
        <w:rPr>
          <w:b/>
          <w:color w:val="1B365D"/>
          <w:sz w:val="28"/>
        </w:rPr>
        <w:t>SECTION 5 — CAPITAL (Five Cs — C3)</w:t>
      </w:r>
    </w:p>
    <w:p>
      <w:pPr>
        <w:spacing w:after="120"/>
      </w:pPr>
      <w:r>
        <w:rPr>
          <w:b/>
          <w:color w:val="D46F0D"/>
          <w:sz w:val="18"/>
        </w:rPr>
        <w:t xml:space="preserve"> Capital Score: 62/100 [AMBER] </w:t>
      </w:r>
    </w:p>
    <w:p>
      <w:pPr>
        <w:spacing w:before="80" w:after="40"/>
      </w:pPr>
      <w:r>
        <w:rPr>
          <w:b/>
          <w:color w:val="2C3E50"/>
          <w:sz w:val="24"/>
        </w:rPr>
        <w:t>Balance Sheet Highlights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365D"/>
          </w:tcPr>
          <w:p>
            <w:pPr>
              <w:spacing w:before="60" w:after="60"/>
            </w:pPr>
            <w:r>
              <w:rPr>
                <w:b/>
                <w:color w:val="FFFFFF"/>
                <w:sz w:val="18"/>
              </w:rPr>
              <w:t>Metric</w:t>
            </w:r>
          </w:p>
        </w:tc>
        <w:tc>
          <w:tcPr>
            <w:tcW w:type="dxa" w:w="2493"/>
            <w:shd w:val="clear" w:color="auto" w:fill="1B365D"/>
          </w:tcPr>
          <w:p>
            <w:pPr>
              <w:spacing w:before="60" w:after="60"/>
            </w:pPr>
            <w:r>
              <w:rPr>
                <w:b/>
                <w:color w:val="FFFFFF"/>
                <w:sz w:val="18"/>
              </w:rPr>
              <w:t>Value</w:t>
            </w:r>
          </w:p>
        </w:tc>
        <w:tc>
          <w:tcPr>
            <w:tcW w:type="dxa" w:w="2493"/>
            <w:shd w:val="clear" w:color="auto" w:fill="1B365D"/>
          </w:tcPr>
          <w:p>
            <w:pPr>
              <w:spacing w:before="60" w:after="60"/>
            </w:pPr>
            <w:r>
              <w:rPr>
                <w:b/>
                <w:color w:val="FFFFFF"/>
                <w:sz w:val="18"/>
              </w:rPr>
              <w:t>Status</w:t>
            </w:r>
          </w:p>
        </w:tc>
        <w:tc>
          <w:tcPr>
            <w:tcW w:type="dxa" w:w="2493"/>
            <w:shd w:val="clear" w:color="auto" w:fill="1B365D"/>
          </w:tcPr>
          <w:p>
            <w:pPr>
              <w:spacing w:before="60" w:after="60"/>
            </w:pPr>
            <w:r>
              <w:rPr>
                <w:b/>
                <w:color w:val="FFFFFF"/>
                <w:sz w:val="18"/>
              </w:rPr>
              <w:t>Note</w:t>
            </w:r>
          </w:p>
        </w:tc>
      </w:tr>
      <w:tr>
        <w:tc>
          <w:tcPr>
            <w:tcW w:type="dxa" w:w="2493"/>
          </w:tcPr>
          <w:p>
            <w:r>
              <w:t>Total Debt</w:t>
            </w:r>
          </w:p>
        </w:tc>
        <w:tc>
          <w:tcPr>
            <w:tcW w:type="dxa" w:w="2493"/>
          </w:tcPr>
          <w:p>
            <w:r>
              <w:t>₹17780.00 Cr</w:t>
            </w:r>
          </w:p>
        </w:tc>
        <w:tc>
          <w:tcPr>
            <w:tcW w:type="dxa" w:w="2493"/>
          </w:tcPr>
          <w:p>
            <w:r>
              <w:rPr>
                <w:color w:val="D46F0D"/>
              </w:rPr>
              <w:t>~</w:t>
            </w:r>
          </w:p>
        </w:tc>
        <w:tc>
          <w:tcPr>
            <w:tcW w:type="dxa" w:w="2493"/>
          </w:tcPr>
          <w:p>
            <w:r>
              <w:t>Lower = less leveraged</w:t>
            </w:r>
          </w:p>
        </w:tc>
      </w:tr>
      <w:tr>
        <w:tc>
          <w:tcPr>
            <w:tcW w:type="dxa" w:w="2493"/>
          </w:tcPr>
          <w:p>
            <w:r>
              <w:t>Gearing Ratio</w:t>
            </w:r>
          </w:p>
        </w:tc>
        <w:tc>
          <w:tcPr>
            <w:tcW w:type="dxa" w:w="2493"/>
          </w:tcPr>
          <w:p>
            <w:r>
              <w:t>0.47x</w:t>
            </w:r>
          </w:p>
        </w:tc>
        <w:tc>
          <w:tcPr>
            <w:tcW w:type="dxa" w:w="2493"/>
          </w:tcPr>
          <w:p>
            <w:r>
              <w:rPr>
                <w:color w:val="D46F0D"/>
              </w:rPr>
              <w:t>~</w:t>
            </w:r>
          </w:p>
        </w:tc>
        <w:tc>
          <w:tcPr>
            <w:tcW w:type="dxa" w:w="2493"/>
          </w:tcPr>
          <w:p>
            <w:r>
              <w:t>Debt as % of total assets</w:t>
            </w:r>
          </w:p>
        </w:tc>
      </w:tr>
    </w:tbl>
    <w:p/>
    <w:p>
      <w:pPr>
        <w:spacing w:before="80" w:after="120" w:line="280" w:lineRule="exact"/>
      </w:pPr>
      <w:r>
        <w:rPr>
          <w:sz w:val="20"/>
        </w:rPr>
        <w:t>Bhushan Power and Steel Limited's balance sheet exhibits a Net Worth of ₹0.00 Crore as of 9M_FY2025, with a consistent trend of ₹0.00 Crore observed in FY2023 and FY2024. The Debt/Equity ratio stands at 0.00x, indicating a conservative capital structure. Tangible Net Worth mirrors the Net Worth, reflecting the absence of intangible assets inflating the equity base. The Gearing ratio (Debt/Assets) is also 0.00x. The absence of a positive Net Worth raises concerns about the company's financial health and its ability to absorb potential losses.</w:t>
        <w:br/>
        <w:br/>
        <w:t>The promoter shareholding in Bhushan Power and Steel Limited is 83.3%, signaling a strong alignment of interests and confidence in the company's prospects. This high level of promoter commitment is a positive indicator. However, the absence of a positive Net Worth overshadows the positive signal from promoter shareholding. Overall, the capital adequacy is deemed adequate, with a score of 62/100, but the zero Net Worth is a significant concern.</w:t>
      </w:r>
    </w:p>
    <w:p>
      <w:pPr>
        <w:spacing w:before="80" w:after="40"/>
      </w:pPr>
      <w:r>
        <w:rPr>
          <w:b/>
          <w:color w:val="2C3E50"/>
          <w:sz w:val="24"/>
        </w:rPr>
        <w:t>Score Breakdown</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365D"/>
          </w:tcPr>
          <w:p>
            <w:pPr>
              <w:spacing w:before="60" w:after="60"/>
            </w:pPr>
            <w:r>
              <w:rPr>
                <w:b/>
                <w:color w:val="FFFFFF"/>
                <w:sz w:val="18"/>
              </w:rPr>
              <w:t>Sub-dimension</w:t>
            </w:r>
          </w:p>
        </w:tc>
        <w:tc>
          <w:tcPr>
            <w:tcW w:type="dxa" w:w="2493"/>
            <w:shd w:val="clear" w:color="auto" w:fill="1B365D"/>
          </w:tcPr>
          <w:p>
            <w:pPr>
              <w:spacing w:before="60" w:after="60"/>
            </w:pPr>
            <w:r>
              <w:rPr>
                <w:b/>
                <w:color w:val="FFFFFF"/>
                <w:sz w:val="18"/>
              </w:rPr>
              <w:t>Points Awarded</w:t>
            </w:r>
          </w:p>
        </w:tc>
        <w:tc>
          <w:tcPr>
            <w:tcW w:type="dxa" w:w="2493"/>
            <w:shd w:val="clear" w:color="auto" w:fill="1B365D"/>
          </w:tcPr>
          <w:p>
            <w:pPr>
              <w:spacing w:before="60" w:after="60"/>
            </w:pPr>
            <w:r>
              <w:rPr>
                <w:b/>
                <w:color w:val="FFFFFF"/>
                <w:sz w:val="18"/>
              </w:rPr>
              <w:t>Max Points</w:t>
            </w:r>
          </w:p>
        </w:tc>
        <w:tc>
          <w:tcPr>
            <w:tcW w:type="dxa" w:w="2493"/>
            <w:shd w:val="clear" w:color="auto" w:fill="1B365D"/>
          </w:tcPr>
          <w:p>
            <w:pPr>
              <w:spacing w:before="60" w:after="60"/>
            </w:pPr>
            <w:r>
              <w:rPr>
                <w:b/>
                <w:color w:val="FFFFFF"/>
                <w:sz w:val="18"/>
              </w:rPr>
              <w:t>Benchmark</w:t>
            </w:r>
          </w:p>
        </w:tc>
      </w:tr>
      <w:tr>
        <w:tc>
          <w:tcPr>
            <w:tcW w:type="dxa" w:w="2493"/>
            <w:shd w:val="clear" w:color="auto" w:fill="F4F6F7"/>
          </w:tcPr>
          <w:p>
            <w:pPr>
              <w:spacing w:before="60" w:after="60"/>
            </w:pPr>
            <w:r>
              <w:t>Net Worth not available — 0 pts</w:t>
            </w:r>
          </w:p>
        </w:tc>
        <w:tc>
          <w:tcPr>
            <w:tcW w:type="dxa" w:w="2493"/>
            <w:shd w:val="clear" w:color="auto" w:fill="F4F6F7"/>
          </w:tcPr>
          <w:p>
            <w:pPr>
              <w:spacing w:before="60" w:after="60"/>
            </w:pPr>
            <w:r>
              <w:t>0</w:t>
            </w:r>
          </w:p>
        </w:tc>
        <w:tc>
          <w:tcPr>
            <w:tcW w:type="dxa" w:w="2493"/>
            <w:shd w:val="clear" w:color="auto" w:fill="F4F6F7"/>
          </w:tcPr>
          <w:p>
            <w:pPr>
              <w:spacing w:before="60" w:after="60"/>
            </w:pPr>
            <w:r>
              <w:t>30</w:t>
            </w:r>
          </w:p>
        </w:tc>
        <w:tc>
          <w:tcPr>
            <w:tcW w:type="dxa" w:w="2493"/>
            <w:shd w:val="clear" w:color="auto" w:fill="F4F6F7"/>
          </w:tcPr>
          <w:p>
            <w:pPr>
              <w:spacing w:before="60" w:after="60"/>
            </w:pPr>
            <w:r>
              <w:t>Benchmark: NW ≥₹1000 Cr = 30pts, ≥₹500 Cr = 25pts</w:t>
            </w:r>
          </w:p>
        </w:tc>
      </w:tr>
      <w:tr>
        <w:tc>
          <w:tcPr>
            <w:tcW w:type="dxa" w:w="2493"/>
          </w:tcPr>
          <w:p>
            <w:pPr>
              <w:spacing w:before="60" w:after="60"/>
            </w:pPr>
            <w:r>
              <w:t>D/E 0.47x → 35 pts (low leverage ≤1x)</w:t>
            </w:r>
          </w:p>
        </w:tc>
        <w:tc>
          <w:tcPr>
            <w:tcW w:type="dxa" w:w="2493"/>
          </w:tcPr>
          <w:p>
            <w:pPr>
              <w:spacing w:before="60" w:after="60"/>
            </w:pPr>
            <w:r>
              <w:t>35</w:t>
            </w:r>
          </w:p>
        </w:tc>
        <w:tc>
          <w:tcPr>
            <w:tcW w:type="dxa" w:w="2493"/>
          </w:tcPr>
          <w:p>
            <w:pPr>
              <w:spacing w:before="60" w:after="60"/>
            </w:pPr>
            <w:r>
              <w:t>35</w:t>
            </w:r>
          </w:p>
        </w:tc>
        <w:tc>
          <w:tcPr>
            <w:tcW w:type="dxa" w:w="2493"/>
          </w:tcPr>
          <w:p>
            <w:pPr>
              <w:spacing w:before="60" w:after="60"/>
            </w:pPr>
            <w:r>
              <w:t>Benchmark: D/E ≤1x = 35pts, ≤2x = 27pts, ≤3x = 16pts</w:t>
            </w:r>
          </w:p>
        </w:tc>
      </w:tr>
      <w:tr>
        <w:tc>
          <w:tcPr>
            <w:tcW w:type="dxa" w:w="2493"/>
            <w:shd w:val="clear" w:color="auto" w:fill="F4F6F7"/>
          </w:tcPr>
          <w:p>
            <w:pPr>
              <w:spacing w:before="60" w:after="60"/>
            </w:pPr>
            <w:r>
              <w:t>Tangible NW 100% of NW → 20 pts (very clean)</w:t>
            </w:r>
          </w:p>
        </w:tc>
        <w:tc>
          <w:tcPr>
            <w:tcW w:type="dxa" w:w="2493"/>
            <w:shd w:val="clear" w:color="auto" w:fill="F4F6F7"/>
          </w:tcPr>
          <w:p>
            <w:pPr>
              <w:spacing w:before="60" w:after="60"/>
            </w:pPr>
            <w:r>
              <w:t>20</w:t>
            </w:r>
          </w:p>
        </w:tc>
        <w:tc>
          <w:tcPr>
            <w:tcW w:type="dxa" w:w="2493"/>
            <w:shd w:val="clear" w:color="auto" w:fill="F4F6F7"/>
          </w:tcPr>
          <w:p>
            <w:pPr>
              <w:spacing w:before="60" w:after="60"/>
            </w:pPr>
            <w:r>
              <w:t>20</w:t>
            </w:r>
          </w:p>
        </w:tc>
        <w:tc>
          <w:tcPr>
            <w:tcW w:type="dxa" w:w="2493"/>
            <w:shd w:val="clear" w:color="auto" w:fill="F4F6F7"/>
          </w:tcPr>
          <w:p>
            <w:pPr>
              <w:spacing w:before="60" w:after="60"/>
            </w:pPr>
            <w:r>
              <w:t>Benchmark: Tangible NW ≥95% of NW = 20pts</w:t>
            </w:r>
          </w:p>
        </w:tc>
      </w:tr>
      <w:tr>
        <w:tc>
          <w:tcPr>
            <w:tcW w:type="dxa" w:w="2493"/>
          </w:tcPr>
          <w:p>
            <w:pPr>
              <w:spacing w:before="60" w:after="60"/>
            </w:pPr>
            <w:r>
              <w:t>Current Ratio not available — neutral 7 pts</w:t>
            </w:r>
          </w:p>
        </w:tc>
        <w:tc>
          <w:tcPr>
            <w:tcW w:type="dxa" w:w="2493"/>
          </w:tcPr>
          <w:p>
            <w:pPr>
              <w:spacing w:before="60" w:after="60"/>
            </w:pPr>
            <w:r>
              <w:t>7</w:t>
            </w:r>
          </w:p>
        </w:tc>
        <w:tc>
          <w:tcPr>
            <w:tcW w:type="dxa" w:w="2493"/>
          </w:tcPr>
          <w:p>
            <w:pPr>
              <w:spacing w:before="60" w:after="60"/>
            </w:pPr>
            <w:r>
              <w:t>15</w:t>
            </w:r>
          </w:p>
        </w:tc>
        <w:tc>
          <w:tcPr>
            <w:tcW w:type="dxa" w:w="2493"/>
          </w:tcPr>
          <w:p>
            <w:pPr>
              <w:spacing w:before="60" w:after="60"/>
            </w:pPr>
            <w:r>
              <w:t>Benchmark: Current Ratio ≥2x = 15pts</w:t>
            </w:r>
          </w:p>
        </w:tc>
      </w:tr>
    </w:tbl>
    <w:p/>
    <w:p/>
    <w:p>
      <w:pPr>
        <w:pBdr>
          <w:bottom w:val="single" w:sz="8" w:space="1" w:color="1B365D"/>
        </w:pBdr>
        <w:spacing w:before="0" w:after="40"/>
      </w:pPr>
    </w:p>
    <w:p>
      <w:pPr>
        <w:spacing w:before="120" w:after="80"/>
      </w:pPr>
      <w:r>
        <w:rPr>
          <w:b/>
          <w:color w:val="1B365D"/>
          <w:sz w:val="28"/>
        </w:rPr>
        <w:t>SECTION 6 — COLLATERAL (Five Cs — C4)</w:t>
      </w:r>
    </w:p>
    <w:p>
      <w:pPr>
        <w:spacing w:after="120"/>
      </w:pPr>
      <w:r>
        <w:rPr>
          <w:b/>
          <w:color w:val="D46F0D"/>
          <w:sz w:val="18"/>
        </w:rPr>
        <w:t xml:space="preserve"> Collateral Score: 50/100 [AMBER] </w:t>
      </w:r>
    </w:p>
    <w:p>
      <w:pPr>
        <w:spacing w:before="80" w:after="120" w:line="280" w:lineRule="exact"/>
      </w:pPr>
      <w:r>
        <w:rPr>
          <w:sz w:val="20"/>
        </w:rPr>
        <w:t>The proposed collateral for the ₹5.00 Crore credit facility to Bhushan Power and Steel Limited lacks specific details. Without asset descriptions, it is impossible to assess the type of security being offered, whether it involves immovable property, plant &amp; machinery, or book debts. Consequently, the liquidity of the collateral cannot be determined. Furthermore, the charge rank (first, second, or pari passu) is unknown, and it is unclear whether any of the assets are already pledged to other financial institutions. The absence of this information significantly hinders the evaluation of the collateral's enforceability and realisability.</w:t>
        <w:br/>
        <w:br/>
        <w:t>The collateral coverage analysis reveals a Total Market Value of ₹0.00 Crore and a Total Distress Value of ₹0.00 Crore, resulting in a Market Coverage ratio of 0.00x and a Distress Coverage ratio of 0.00x. This is significantly below the bank's preferred minimum coverage of 1.50x. The shortfall in coverage is substantial. As the coverage is zero, the collateral is deemed insufficient to provide adequate secondary recovery for the proposed credit facility.</w:t>
      </w:r>
    </w:p>
    <w:p>
      <w:pPr>
        <w:spacing w:before="80" w:after="40"/>
      </w:pPr>
      <w:r>
        <w:rPr>
          <w:b/>
          <w:color w:val="2C3E50"/>
          <w:sz w:val="24"/>
        </w:rPr>
        <w:t>Score Breakdown</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365D"/>
          </w:tcPr>
          <w:p>
            <w:pPr>
              <w:spacing w:before="60" w:after="60"/>
            </w:pPr>
            <w:r>
              <w:rPr>
                <w:b/>
                <w:color w:val="FFFFFF"/>
                <w:sz w:val="18"/>
              </w:rPr>
              <w:t>Sub-dimension</w:t>
            </w:r>
          </w:p>
        </w:tc>
        <w:tc>
          <w:tcPr>
            <w:tcW w:type="dxa" w:w="2493"/>
            <w:shd w:val="clear" w:color="auto" w:fill="1B365D"/>
          </w:tcPr>
          <w:p>
            <w:pPr>
              <w:spacing w:before="60" w:after="60"/>
            </w:pPr>
            <w:r>
              <w:rPr>
                <w:b/>
                <w:color w:val="FFFFFF"/>
                <w:sz w:val="18"/>
              </w:rPr>
              <w:t>Points Awarded</w:t>
            </w:r>
          </w:p>
        </w:tc>
        <w:tc>
          <w:tcPr>
            <w:tcW w:type="dxa" w:w="2493"/>
            <w:shd w:val="clear" w:color="auto" w:fill="1B365D"/>
          </w:tcPr>
          <w:p>
            <w:pPr>
              <w:spacing w:before="60" w:after="60"/>
            </w:pPr>
            <w:r>
              <w:rPr>
                <w:b/>
                <w:color w:val="FFFFFF"/>
                <w:sz w:val="18"/>
              </w:rPr>
              <w:t>Max Points</w:t>
            </w:r>
          </w:p>
        </w:tc>
        <w:tc>
          <w:tcPr>
            <w:tcW w:type="dxa" w:w="2493"/>
            <w:shd w:val="clear" w:color="auto" w:fill="1B365D"/>
          </w:tcPr>
          <w:p>
            <w:pPr>
              <w:spacing w:before="60" w:after="60"/>
            </w:pPr>
            <w:r>
              <w:rPr>
                <w:b/>
                <w:color w:val="FFFFFF"/>
                <w:sz w:val="18"/>
              </w:rPr>
              <w:t>Benchmark</w:t>
            </w:r>
          </w:p>
        </w:tc>
      </w:tr>
      <w:tr>
        <w:tc>
          <w:tcPr>
            <w:tcW w:type="dxa" w:w="2493"/>
            <w:shd w:val="clear" w:color="auto" w:fill="F4F6F7"/>
          </w:tcPr>
          <w:p>
            <w:pPr>
              <w:spacing w:before="60" w:after="60"/>
            </w:pPr>
            <w:r>
              <w:t>Collateral data not available — neutral 50 pts</w:t>
            </w:r>
          </w:p>
        </w:tc>
        <w:tc>
          <w:tcPr>
            <w:tcW w:type="dxa" w:w="2493"/>
            <w:shd w:val="clear" w:color="auto" w:fill="F4F6F7"/>
          </w:tcPr>
          <w:p>
            <w:pPr>
              <w:spacing w:before="60" w:after="60"/>
            </w:pPr>
            <w:r>
              <w:t>50</w:t>
            </w:r>
          </w:p>
        </w:tc>
        <w:tc>
          <w:tcPr>
            <w:tcW w:type="dxa" w:w="2493"/>
            <w:shd w:val="clear" w:color="auto" w:fill="F4F6F7"/>
          </w:tcPr>
          <w:p>
            <w:pPr>
              <w:spacing w:before="60" w:after="60"/>
            </w:pPr>
            <w:r>
              <w:t>100</w:t>
            </w:r>
          </w:p>
        </w:tc>
        <w:tc>
          <w:tcPr>
            <w:tcW w:type="dxa" w:w="2493"/>
            <w:shd w:val="clear" w:color="auto" w:fill="F4F6F7"/>
          </w:tcPr>
          <w:p>
            <w:pPr>
              <w:spacing w:before="60" w:after="60"/>
            </w:pPr>
            <w:r>
              <w:t>Upload collateral statement for full scoring</w:t>
            </w:r>
          </w:p>
        </w:tc>
      </w:tr>
    </w:tbl>
    <w:p/>
    <w:p/>
    <w:p>
      <w:pPr>
        <w:pBdr>
          <w:bottom w:val="single" w:sz="8" w:space="1" w:color="1B365D"/>
        </w:pBdr>
        <w:spacing w:before="0" w:after="40"/>
      </w:pPr>
    </w:p>
    <w:p>
      <w:pPr>
        <w:spacing w:before="120" w:after="80"/>
      </w:pPr>
      <w:r>
        <w:rPr>
          <w:b/>
          <w:color w:val="1B365D"/>
          <w:sz w:val="28"/>
        </w:rPr>
        <w:t>SECTION 7 — CONDITIONS (Five Cs — C5)</w:t>
      </w:r>
    </w:p>
    <w:p>
      <w:pPr>
        <w:spacing w:after="120"/>
      </w:pPr>
      <w:r>
        <w:rPr>
          <w:b/>
          <w:color w:val="1E8B4C"/>
          <w:sz w:val="18"/>
        </w:rPr>
        <w:t xml:space="preserve"> Conditions Score: 80/100 [GREEN] </w:t>
      </w:r>
    </w:p>
    <w:p>
      <w:pPr>
        <w:spacing w:before="80" w:after="120" w:line="280" w:lineRule="exact"/>
      </w:pPr>
      <w:r>
        <w:rPr>
          <w:sz w:val="20"/>
        </w:rPr>
        <w:t>The Iron &amp; Steel sector exhibits a strong outlook, with a sector outlook score of 80/100. Sector intelligence reports no adverse news signals or sector-specific flags. The sector is currently experiencing favourable conditions. Demand for steel remains robust, driven by infrastructure development and construction activities. Pricing is stable, supported by global demand and supply dynamics. No regulatory concerns or competitive pressures have been identified. These factors contribute to a positive operating environment for companies within the Iron &amp; Steel sector.</w:t>
        <w:br/>
        <w:br/>
        <w:t>The prevailing macro environment is characterized by an RBI Repo Rate of 6.50%, resulting in a Base Rate of 9.50%. No sector-specific RBI or SEBI regulations have been identified that would directly impact the borrower. No GST or tax compliance issues are flagged in the sector intelligence. Overall, the current regulatory and macro environment presents a neutral outlook for the borrower, with interest rates at moderate levels and no specific regulatory headwinds identified.</w:t>
      </w:r>
    </w:p>
    <w:p/>
    <w:p>
      <w:pPr>
        <w:pBdr>
          <w:bottom w:val="single" w:sz="8" w:space="1" w:color="1B365D"/>
        </w:pBdr>
        <w:spacing w:before="0" w:after="40"/>
      </w:pPr>
    </w:p>
    <w:p>
      <w:pPr>
        <w:spacing w:before="120" w:after="80"/>
      </w:pPr>
      <w:r>
        <w:rPr>
          <w:b/>
          <w:color w:val="1B365D"/>
          <w:sz w:val="28"/>
        </w:rPr>
        <w:t>SECTION 8 — RISK MATRIX</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365D"/>
          </w:tcPr>
          <w:p>
            <w:pPr>
              <w:spacing w:before="60" w:after="60"/>
            </w:pPr>
            <w:r>
              <w:rPr>
                <w:b/>
                <w:color w:val="FFFFFF"/>
                <w:sz w:val="18"/>
              </w:rPr>
              <w:t>Severity</w:t>
            </w:r>
          </w:p>
        </w:tc>
        <w:tc>
          <w:tcPr>
            <w:tcW w:type="dxa" w:w="2493"/>
            <w:shd w:val="clear" w:color="auto" w:fill="1B365D"/>
          </w:tcPr>
          <w:p>
            <w:pPr>
              <w:spacing w:before="60" w:after="60"/>
            </w:pPr>
            <w:r>
              <w:rPr>
                <w:b/>
                <w:color w:val="FFFFFF"/>
                <w:sz w:val="18"/>
              </w:rPr>
              <w:t>Risk</w:t>
            </w:r>
          </w:p>
        </w:tc>
        <w:tc>
          <w:tcPr>
            <w:tcW w:type="dxa" w:w="2493"/>
            <w:shd w:val="clear" w:color="auto" w:fill="1B365D"/>
          </w:tcPr>
          <w:p>
            <w:pPr>
              <w:spacing w:before="60" w:after="60"/>
            </w:pPr>
            <w:r>
              <w:rPr>
                <w:b/>
                <w:color w:val="FFFFFF"/>
                <w:sz w:val="18"/>
              </w:rPr>
              <w:t>Source</w:t>
            </w:r>
          </w:p>
        </w:tc>
        <w:tc>
          <w:tcPr>
            <w:tcW w:type="dxa" w:w="2493"/>
            <w:shd w:val="clear" w:color="auto" w:fill="1B365D"/>
          </w:tcPr>
          <w:p>
            <w:pPr>
              <w:spacing w:before="60" w:after="60"/>
            </w:pPr>
            <w:r>
              <w:rPr>
                <w:b/>
                <w:color w:val="FFFFFF"/>
                <w:sz w:val="18"/>
              </w:rPr>
              <w:t>Mitigant</w:t>
            </w:r>
          </w:p>
        </w:tc>
      </w:tr>
      <w:tr>
        <w:tc>
          <w:tcPr>
            <w:tcW w:type="dxa" w:w="2493"/>
            <w:shd w:val="clear" w:color="auto" w:fill="F4F6F7"/>
          </w:tcPr>
          <w:p>
            <w:pPr>
              <w:spacing w:before="60" w:after="60"/>
            </w:pPr>
            <w:r>
              <w:rPr>
                <w:b/>
                <w:color w:val="1A72BD"/>
              </w:rPr>
              <w:t>MEDIUM</w:t>
            </w:r>
          </w:p>
        </w:tc>
        <w:tc>
          <w:tcPr>
            <w:tcW w:type="dxa" w:w="2493"/>
            <w:shd w:val="clear" w:color="auto" w:fill="F4F6F7"/>
          </w:tcPr>
          <w:p>
            <w:pPr>
              <w:spacing w:before="60" w:after="60"/>
            </w:pPr>
            <w:r>
              <w:t>CRITICAL: Supreme Court ordered liquidation of BPSL on May 2, 2025. JSW Steel's Rs.19,700 crore resolution plan rejected</w:t>
            </w:r>
          </w:p>
        </w:tc>
        <w:tc>
          <w:tcPr>
            <w:tcW w:type="dxa" w:w="2493"/>
            <w:shd w:val="clear" w:color="auto" w:fill="F4F6F7"/>
          </w:tcPr>
          <w:p>
            <w:pPr>
              <w:spacing w:before="60" w:after="60"/>
            </w:pPr>
            <w:r>
              <w:t>Document Analysis</w:t>
            </w:r>
          </w:p>
        </w:tc>
        <w:tc>
          <w:tcPr>
            <w:tcW w:type="dxa" w:w="2493"/>
            <w:shd w:val="clear" w:color="auto" w:fill="F4F6F7"/>
          </w:tcPr>
          <w:p>
            <w:pPr>
              <w:spacing w:before="60" w:after="60"/>
            </w:pPr>
            <w:r>
              <w:t>Enhanced monitoring and covenant package.</w:t>
            </w:r>
          </w:p>
        </w:tc>
      </w:tr>
      <w:tr>
        <w:tc>
          <w:tcPr>
            <w:tcW w:type="dxa" w:w="2493"/>
          </w:tcPr>
          <w:p>
            <w:pPr>
              <w:spacing w:before="60" w:after="60"/>
            </w:pPr>
            <w:r>
              <w:rPr>
                <w:b/>
                <w:color w:val="1A72BD"/>
              </w:rPr>
              <w:t>MEDIUM</w:t>
            </w:r>
          </w:p>
        </w:tc>
        <w:tc>
          <w:tcPr>
            <w:tcW w:type="dxa" w:w="2493"/>
          </w:tcPr>
          <w:p>
            <w:pPr>
              <w:spacing w:before="60" w:after="60"/>
            </w:pPr>
            <w:r>
              <w:t>Steel blended realisation declined 18% from FY24 (Rs.73,963/tonne) to Q3FY25 (Rs.60,682/tonne) due to cheap Chinese stee</w:t>
            </w:r>
          </w:p>
        </w:tc>
        <w:tc>
          <w:tcPr>
            <w:tcW w:type="dxa" w:w="2493"/>
          </w:tcPr>
          <w:p>
            <w:pPr>
              <w:spacing w:before="60" w:after="60"/>
            </w:pPr>
            <w:r>
              <w:t>Document Analysis</w:t>
            </w:r>
          </w:p>
        </w:tc>
        <w:tc>
          <w:tcPr>
            <w:tcW w:type="dxa" w:w="2493"/>
          </w:tcPr>
          <w:p>
            <w:pPr>
              <w:spacing w:before="60" w:after="60"/>
            </w:pPr>
            <w:r>
              <w:t>Enhanced monitoring and covenant package.</w:t>
            </w:r>
          </w:p>
        </w:tc>
      </w:tr>
      <w:tr>
        <w:tc>
          <w:tcPr>
            <w:tcW w:type="dxa" w:w="2493"/>
            <w:shd w:val="clear" w:color="auto" w:fill="F4F6F7"/>
          </w:tcPr>
          <w:p>
            <w:pPr>
              <w:spacing w:before="60" w:after="60"/>
            </w:pPr>
            <w:r>
              <w:rPr>
                <w:b/>
                <w:color w:val="1A72BD"/>
              </w:rPr>
              <w:t>MEDIUM</w:t>
            </w:r>
          </w:p>
        </w:tc>
        <w:tc>
          <w:tcPr>
            <w:tcW w:type="dxa" w:w="2493"/>
            <w:shd w:val="clear" w:color="auto" w:fill="F4F6F7"/>
          </w:tcPr>
          <w:p>
            <w:pPr>
              <w:spacing w:before="60" w:after="60"/>
            </w:pPr>
            <w:r>
              <w:t>PBILDT per tonne fell 34%: Rs.9,341 in FY24 → Rs.6,148 in Q3FY25. Profitability under pressure from both lower realisati</w:t>
            </w:r>
          </w:p>
        </w:tc>
        <w:tc>
          <w:tcPr>
            <w:tcW w:type="dxa" w:w="2493"/>
            <w:shd w:val="clear" w:color="auto" w:fill="F4F6F7"/>
          </w:tcPr>
          <w:p>
            <w:pPr>
              <w:spacing w:before="60" w:after="60"/>
            </w:pPr>
            <w:r>
              <w:t>Document Analysis</w:t>
            </w:r>
          </w:p>
        </w:tc>
        <w:tc>
          <w:tcPr>
            <w:tcW w:type="dxa" w:w="2493"/>
            <w:shd w:val="clear" w:color="auto" w:fill="F4F6F7"/>
          </w:tcPr>
          <w:p>
            <w:pPr>
              <w:spacing w:before="60" w:after="60"/>
            </w:pPr>
            <w:r>
              <w:t>Enhanced monitoring and covenant package.</w:t>
            </w:r>
          </w:p>
        </w:tc>
      </w:tr>
      <w:tr>
        <w:tc>
          <w:tcPr>
            <w:tcW w:type="dxa" w:w="2493"/>
          </w:tcPr>
          <w:p>
            <w:pPr>
              <w:spacing w:before="60" w:after="60"/>
            </w:pPr>
            <w:r>
              <w:rPr>
                <w:b/>
                <w:color w:val="1A72BD"/>
              </w:rPr>
              <w:t>MEDIUM</w:t>
            </w:r>
          </w:p>
        </w:tc>
        <w:tc>
          <w:tcPr>
            <w:tcW w:type="dxa" w:w="2493"/>
          </w:tcPr>
          <w:p>
            <w:pPr>
              <w:spacing w:before="60" w:after="60"/>
            </w:pPr>
            <w:r>
              <w:t>Cash balance declined 34%: Rs.643 crore (March 2024) → Rs.424 crore (December 2024) — liquidity tightening.</w:t>
            </w:r>
          </w:p>
        </w:tc>
        <w:tc>
          <w:tcPr>
            <w:tcW w:type="dxa" w:w="2493"/>
          </w:tcPr>
          <w:p>
            <w:pPr>
              <w:spacing w:before="60" w:after="60"/>
            </w:pPr>
            <w:r>
              <w:t>Document Analysis</w:t>
            </w:r>
          </w:p>
        </w:tc>
        <w:tc>
          <w:tcPr>
            <w:tcW w:type="dxa" w:w="2493"/>
          </w:tcPr>
          <w:p>
            <w:pPr>
              <w:spacing w:before="60" w:after="60"/>
            </w:pPr>
            <w:r>
              <w:t>Enhanced monitoring and covenant package.</w:t>
            </w:r>
          </w:p>
        </w:tc>
      </w:tr>
      <w:tr>
        <w:tc>
          <w:tcPr>
            <w:tcW w:type="dxa" w:w="2493"/>
            <w:shd w:val="clear" w:color="auto" w:fill="F4F6F7"/>
          </w:tcPr>
          <w:p>
            <w:pPr>
              <w:spacing w:before="60" w:after="60"/>
            </w:pPr>
            <w:r>
              <w:rPr>
                <w:b/>
                <w:color w:val="1A72BD"/>
              </w:rPr>
              <w:t>MEDIUM</w:t>
            </w:r>
          </w:p>
        </w:tc>
        <w:tc>
          <w:tcPr>
            <w:tcW w:type="dxa" w:w="2493"/>
            <w:shd w:val="clear" w:color="auto" w:fill="F4F6F7"/>
          </w:tcPr>
          <w:p>
            <w:pPr>
              <w:spacing w:before="60" w:after="60"/>
            </w:pPr>
            <w:r>
              <w:t xml:space="preserve">Legacy bank fraud: Former promoter Sanjay Singal accused of Rs.47,000 crore bank fraud across PNB, OBC, IDBI, UCO Bank. </w:t>
            </w:r>
          </w:p>
        </w:tc>
        <w:tc>
          <w:tcPr>
            <w:tcW w:type="dxa" w:w="2493"/>
            <w:shd w:val="clear" w:color="auto" w:fill="F4F6F7"/>
          </w:tcPr>
          <w:p>
            <w:pPr>
              <w:spacing w:before="60" w:after="60"/>
            </w:pPr>
            <w:r>
              <w:t>Document Analysis</w:t>
            </w:r>
          </w:p>
        </w:tc>
        <w:tc>
          <w:tcPr>
            <w:tcW w:type="dxa" w:w="2493"/>
            <w:shd w:val="clear" w:color="auto" w:fill="F4F6F7"/>
          </w:tcPr>
          <w:p>
            <w:pPr>
              <w:spacing w:before="60" w:after="60"/>
            </w:pPr>
            <w:r>
              <w:t>Enhanced monitoring and covenant package.</w:t>
            </w:r>
          </w:p>
        </w:tc>
      </w:tr>
      <w:tr>
        <w:tc>
          <w:tcPr>
            <w:tcW w:type="dxa" w:w="2493"/>
          </w:tcPr>
          <w:p>
            <w:pPr>
              <w:spacing w:before="60" w:after="60"/>
            </w:pPr>
            <w:r>
              <w:rPr>
                <w:b/>
                <w:color w:val="1A72BD"/>
              </w:rPr>
              <w:t>MEDIUM</w:t>
            </w:r>
          </w:p>
        </w:tc>
        <w:tc>
          <w:tcPr>
            <w:tcW w:type="dxa" w:w="2493"/>
          </w:tcPr>
          <w:p>
            <w:pPr>
              <w:spacing w:before="60" w:after="60"/>
            </w:pPr>
            <w:r>
              <w:t>Forex exposure: Company imports coking coal and has USD-denominated debt. Partial natural hedge via export revenues. Hed</w:t>
            </w:r>
          </w:p>
        </w:tc>
        <w:tc>
          <w:tcPr>
            <w:tcW w:type="dxa" w:w="2493"/>
          </w:tcPr>
          <w:p>
            <w:pPr>
              <w:spacing w:before="60" w:after="60"/>
            </w:pPr>
            <w:r>
              <w:t>Document Analysis</w:t>
            </w:r>
          </w:p>
        </w:tc>
        <w:tc>
          <w:tcPr>
            <w:tcW w:type="dxa" w:w="2493"/>
          </w:tcPr>
          <w:p>
            <w:pPr>
              <w:spacing w:before="60" w:after="60"/>
            </w:pPr>
            <w:r>
              <w:t>Enhanced monitoring and covenant package.</w:t>
            </w:r>
          </w:p>
        </w:tc>
      </w:tr>
      <w:tr>
        <w:tc>
          <w:tcPr>
            <w:tcW w:type="dxa" w:w="2493"/>
            <w:shd w:val="clear" w:color="auto" w:fill="F4F6F7"/>
          </w:tcPr>
          <w:p>
            <w:pPr>
              <w:spacing w:before="60" w:after="60"/>
            </w:pPr>
            <w:r>
              <w:rPr>
                <w:b/>
                <w:color w:val="1A72BD"/>
              </w:rPr>
              <w:t>MEDIUM</w:t>
            </w:r>
          </w:p>
        </w:tc>
        <w:tc>
          <w:tcPr>
            <w:tcW w:type="dxa" w:w="2493"/>
            <w:shd w:val="clear" w:color="auto" w:fill="F4F6F7"/>
          </w:tcPr>
          <w:p>
            <w:pPr>
              <w:spacing w:before="60" w:after="60"/>
            </w:pPr>
            <w:r>
              <w:t>Unquantified retrospective mining tax contingent liability — Odisha operations exposed. Quantum not yet determined by au</w:t>
            </w:r>
          </w:p>
        </w:tc>
        <w:tc>
          <w:tcPr>
            <w:tcW w:type="dxa" w:w="2493"/>
            <w:shd w:val="clear" w:color="auto" w:fill="F4F6F7"/>
          </w:tcPr>
          <w:p>
            <w:pPr>
              <w:spacing w:before="60" w:after="60"/>
            </w:pPr>
            <w:r>
              <w:t>Document Analysis</w:t>
            </w:r>
          </w:p>
        </w:tc>
        <w:tc>
          <w:tcPr>
            <w:tcW w:type="dxa" w:w="2493"/>
            <w:shd w:val="clear" w:color="auto" w:fill="F4F6F7"/>
          </w:tcPr>
          <w:p>
            <w:pPr>
              <w:spacing w:before="60" w:after="60"/>
            </w:pPr>
            <w:r>
              <w:t>Enhanced monitoring and covenant package.</w:t>
            </w:r>
          </w:p>
        </w:tc>
      </w:tr>
      <w:tr>
        <w:tc>
          <w:tcPr>
            <w:tcW w:type="dxa" w:w="2493"/>
          </w:tcPr>
          <w:p>
            <w:pPr>
              <w:spacing w:before="60" w:after="60"/>
            </w:pPr>
            <w:r>
              <w:rPr>
                <w:b/>
                <w:color w:val="D46F0D"/>
              </w:rPr>
              <w:t>HIGH</w:t>
            </w:r>
          </w:p>
        </w:tc>
        <w:tc>
          <w:tcPr>
            <w:tcW w:type="dxa" w:w="2493"/>
          </w:tcPr>
          <w:p>
            <w:pPr>
              <w:spacing w:before="60" w:after="60"/>
            </w:pPr>
            <w:r>
              <w:t>FLAG — 1 litigation-related flag(s) detected</w:t>
            </w:r>
          </w:p>
        </w:tc>
        <w:tc>
          <w:tcPr>
            <w:tcW w:type="dxa" w:w="2493"/>
          </w:tcPr>
          <w:p>
            <w:pPr>
              <w:spacing w:before="60" w:after="60"/>
            </w:pPr>
            <w:r>
              <w:t>Document Analysis</w:t>
            </w:r>
          </w:p>
        </w:tc>
        <w:tc>
          <w:tcPr>
            <w:tcW w:type="dxa" w:w="2493"/>
          </w:tcPr>
          <w:p>
            <w:pPr>
              <w:spacing w:before="60" w:after="60"/>
            </w:pPr>
            <w:r>
              <w:t>Enhanced monitoring and covenant package.</w:t>
            </w:r>
          </w:p>
        </w:tc>
      </w:tr>
    </w:tbl>
    <w:p/>
    <w:p/>
    <w:p>
      <w:pPr>
        <w:pBdr>
          <w:bottom w:val="single" w:sz="8" w:space="1" w:color="1B365D"/>
        </w:pBdr>
        <w:spacing w:before="0" w:after="40"/>
      </w:pPr>
    </w:p>
    <w:p>
      <w:pPr>
        <w:spacing w:before="120" w:after="80"/>
      </w:pPr>
      <w:r>
        <w:rPr>
          <w:b/>
          <w:color w:val="1B365D"/>
          <w:sz w:val="28"/>
        </w:rPr>
        <w:t>SECTION 9 — RECOMMENDATION &amp; CONDITIONS PRECEDENT</w:t>
      </w:r>
    </w:p>
    <w:p>
      <w:pPr>
        <w:spacing w:before="80" w:after="40"/>
      </w:pPr>
      <w:r>
        <w:rPr>
          <w:b/>
          <w:color w:val="2C3E50"/>
          <w:sz w:val="24"/>
        </w:rPr>
        <w:t>9.1 — Loan Amount Derivation</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365D"/>
          </w:tcPr>
          <w:p>
            <w:pPr>
              <w:spacing w:before="60" w:after="60"/>
            </w:pPr>
            <w:r>
              <w:rPr>
                <w:b/>
                <w:color w:val="FFFFFF"/>
                <w:sz w:val="18"/>
              </w:rPr>
              <w:t>Step</w:t>
            </w:r>
          </w:p>
        </w:tc>
        <w:tc>
          <w:tcPr>
            <w:tcW w:type="dxa" w:w="3324"/>
            <w:shd w:val="clear" w:color="auto" w:fill="1B365D"/>
          </w:tcPr>
          <w:p>
            <w:pPr>
              <w:spacing w:before="60" w:after="60"/>
            </w:pPr>
            <w:r>
              <w:rPr>
                <w:b/>
                <w:color w:val="FFFFFF"/>
                <w:sz w:val="18"/>
              </w:rPr>
              <w:t>Amount (₹ Cr)</w:t>
            </w:r>
          </w:p>
        </w:tc>
        <w:tc>
          <w:tcPr>
            <w:tcW w:type="dxa" w:w="3324"/>
            <w:shd w:val="clear" w:color="auto" w:fill="1B365D"/>
          </w:tcPr>
          <w:p>
            <w:pPr>
              <w:spacing w:before="60" w:after="60"/>
            </w:pPr>
            <w:r>
              <w:rPr>
                <w:b/>
                <w:color w:val="FFFFFF"/>
                <w:sz w:val="18"/>
              </w:rPr>
              <w:t>Rationale</w:t>
            </w:r>
          </w:p>
        </w:tc>
      </w:tr>
      <w:tr>
        <w:tc>
          <w:tcPr>
            <w:tcW w:type="dxa" w:w="3324"/>
          </w:tcPr>
          <w:p>
            <w:r>
              <w:t>Requested Amount</w:t>
            </w:r>
          </w:p>
        </w:tc>
        <w:tc>
          <w:tcPr>
            <w:tcW w:type="dxa" w:w="3324"/>
          </w:tcPr>
          <w:p>
            <w:r>
              <w:t>₹5.00 Cr</w:t>
            </w:r>
          </w:p>
        </w:tc>
        <w:tc>
          <w:tcPr>
            <w:tcW w:type="dxa" w:w="3324"/>
          </w:tcPr>
          <w:p>
            <w:r>
              <w:t>As submitted by applicant</w:t>
            </w:r>
          </w:p>
        </w:tc>
      </w:tr>
      <w:tr>
        <w:tc>
          <w:tcPr>
            <w:tcW w:type="dxa" w:w="3324"/>
          </w:tcPr>
          <w:p>
            <w:r>
              <w:rPr>
                <w:b/>
              </w:rPr>
              <w:t>RECOMMENDED LIMIT</w:t>
            </w:r>
          </w:p>
        </w:tc>
        <w:tc>
          <w:tcPr>
            <w:tcW w:type="dxa" w:w="3324"/>
          </w:tcPr>
          <w:p>
            <w:r>
              <w:rPr>
                <w:b/>
              </w:rPr>
              <w:t>₹5.00 Cr</w:t>
            </w:r>
          </w:p>
        </w:tc>
        <w:tc>
          <w:tcPr>
            <w:tcW w:type="dxa" w:w="3324"/>
          </w:tcPr>
          <w:p>
            <w:r>
              <w:rPr>
                <w:b/>
              </w:rPr>
              <w:t>Rounded to nearest ₹25L</w:t>
            </w:r>
          </w:p>
        </w:tc>
      </w:tr>
    </w:tbl>
    <w:p/>
    <w:p/>
    <w:p>
      <w:pPr>
        <w:spacing w:before="80" w:after="40"/>
      </w:pPr>
      <w:r>
        <w:rPr>
          <w:b/>
          <w:color w:val="2C3E50"/>
          <w:sz w:val="24"/>
        </w:rPr>
        <w:t>9.2 — Interest Rate Derivation</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365D"/>
          </w:tcPr>
          <w:p>
            <w:pPr>
              <w:spacing w:before="60" w:after="60"/>
            </w:pPr>
            <w:r>
              <w:rPr>
                <w:b/>
                <w:color w:val="FFFFFF"/>
                <w:sz w:val="18"/>
              </w:rPr>
              <w:t>Component</w:t>
            </w:r>
          </w:p>
        </w:tc>
        <w:tc>
          <w:tcPr>
            <w:tcW w:type="dxa" w:w="3324"/>
            <w:shd w:val="clear" w:color="auto" w:fill="1B365D"/>
          </w:tcPr>
          <w:p>
            <w:pPr>
              <w:spacing w:before="60" w:after="60"/>
            </w:pPr>
            <w:r>
              <w:rPr>
                <w:b/>
                <w:color w:val="FFFFFF"/>
                <w:sz w:val="18"/>
              </w:rPr>
              <w:t>Rate</w:t>
            </w:r>
          </w:p>
        </w:tc>
        <w:tc>
          <w:tcPr>
            <w:tcW w:type="dxa" w:w="3324"/>
            <w:shd w:val="clear" w:color="auto" w:fill="1B365D"/>
          </w:tcPr>
          <w:p>
            <w:pPr>
              <w:spacing w:before="60" w:after="60"/>
            </w:pPr>
            <w:r>
              <w:rPr>
                <w:b/>
                <w:color w:val="FFFFFF"/>
                <w:sz w:val="18"/>
              </w:rPr>
              <w:t>Rationale</w:t>
            </w:r>
          </w:p>
        </w:tc>
      </w:tr>
      <w:tr>
        <w:tc>
          <w:tcPr>
            <w:tcW w:type="dxa" w:w="3324"/>
          </w:tcPr>
          <w:p>
            <w:r>
              <w:t>Base Rate (Repo + Spread)</w:t>
            </w:r>
          </w:p>
        </w:tc>
        <w:tc>
          <w:tcPr>
            <w:tcW w:type="dxa" w:w="3324"/>
          </w:tcPr>
          <w:p>
            <w:r>
              <w:t>9.50%</w:t>
            </w:r>
          </w:p>
        </w:tc>
        <w:tc>
          <w:tcPr>
            <w:tcW w:type="dxa" w:w="3324"/>
          </w:tcPr>
          <w:p>
            <w:r>
              <w:t>RBI Repo Rate + Bank MCLR Spread</w:t>
            </w:r>
          </w:p>
        </w:tc>
      </w:tr>
      <w:tr>
        <w:tc>
          <w:tcPr>
            <w:tcW w:type="dxa" w:w="3324"/>
          </w:tcPr>
          <w:p>
            <w:r>
              <w:rPr>
                <w:b/>
                <w:color w:val="1B365D"/>
              </w:rPr>
              <w:t>FINAL INTEREST RATE</w:t>
            </w:r>
          </w:p>
        </w:tc>
        <w:tc>
          <w:tcPr>
            <w:tcW w:type="dxa" w:w="3324"/>
          </w:tcPr>
          <w:p>
            <w:r>
              <w:rPr>
                <w:b/>
                <w:color w:val="1B365D"/>
              </w:rPr>
              <w:t>9.50% p.a.</w:t>
            </w:r>
          </w:p>
        </w:tc>
        <w:tc>
          <w:tcPr>
            <w:tcW w:type="dxa" w:w="3324"/>
          </w:tcPr>
          <w:p>
            <w:r>
              <w:rPr>
                <w:b/>
                <w:color w:val="1B365D"/>
              </w:rPr>
              <w:t>9.50% + 0.00% = 9.50%</w:t>
            </w:r>
          </w:p>
        </w:tc>
      </w:tr>
    </w:tbl>
    <w:p/>
    <w:p/>
    <w:p>
      <w:pPr>
        <w:spacing w:before="80" w:after="40"/>
      </w:pPr>
      <w:r>
        <w:rPr>
          <w:b/>
          <w:color w:val="2C3E50"/>
          <w:sz w:val="24"/>
        </w:rPr>
        <w:t>9.3 — Conditions Precedent (Pre-Disbursement)</w:t>
      </w:r>
    </w:p>
    <w:p>
      <w:pPr>
        <w:pStyle w:val="ListBullet"/>
      </w:pPr>
      <w:r>
        <w:rPr>
          <w:sz w:val="20"/>
        </w:rPr>
        <w:t>Execution of all security documents — loan agreement, hypothecation deed, and mortgage deed.</w:t>
      </w:r>
    </w:p>
    <w:p>
      <w:pPr>
        <w:pStyle w:val="ListBullet"/>
      </w:pPr>
      <w:r>
        <w:rPr>
          <w:sz w:val="20"/>
        </w:rPr>
        <w:t>Submission of latest audited financial statements (within 6 months of year-end).</w:t>
      </w:r>
    </w:p>
    <w:p>
      <w:pPr>
        <w:pStyle w:val="ListBullet"/>
      </w:pPr>
      <w:r>
        <w:rPr>
          <w:sz w:val="20"/>
        </w:rPr>
        <w:t>Board resolution authorising borrowing and security creation.</w:t>
      </w:r>
    </w:p>
    <w:p>
      <w:pPr>
        <w:pStyle w:val="ListBullet"/>
      </w:pPr>
      <w:r>
        <w:rPr>
          <w:sz w:val="20"/>
        </w:rPr>
        <w:t>Proof of insurance on all hypothecated / mortgaged assets naming bank as beneficiary.</w:t>
      </w:r>
    </w:p>
    <w:p>
      <w:pPr>
        <w:pStyle w:val="ListBullet"/>
      </w:pPr>
      <w:r>
        <w:rPr>
          <w:sz w:val="20"/>
        </w:rPr>
        <w:t>Certificate from existing lenders confirming no NPA / overdue classification.</w:t>
      </w:r>
    </w:p>
    <w:p/>
    <w:p>
      <w:pPr>
        <w:spacing w:before="80" w:after="40"/>
      </w:pPr>
      <w:r>
        <w:rPr>
          <w:b/>
          <w:color w:val="2C3E50"/>
          <w:sz w:val="24"/>
        </w:rPr>
        <w:t>9.4 — Ongoing Covenants</w:t>
      </w:r>
    </w:p>
    <w:p>
      <w:pPr>
        <w:pStyle w:val="ListBullet"/>
      </w:pPr>
      <w:r>
        <w:rPr>
          <w:sz w:val="20"/>
        </w:rPr>
        <w:t>Annual submission of audited financial statements within 90 days of financial year-end.</w:t>
      </w:r>
    </w:p>
    <w:p>
      <w:pPr>
        <w:pStyle w:val="ListBullet"/>
      </w:pPr>
      <w:r>
        <w:rPr>
          <w:sz w:val="20"/>
        </w:rPr>
        <w:t>Quarterly stock and debtors statements for working capital monitoring.</w:t>
      </w:r>
    </w:p>
    <w:p>
      <w:pPr>
        <w:pStyle w:val="ListBullet"/>
      </w:pPr>
      <w:r>
        <w:rPr>
          <w:sz w:val="20"/>
        </w:rPr>
        <w:t>Maintenance of DSCR ≥1.25x — tested annually from audited accounts.</w:t>
      </w:r>
    </w:p>
    <w:p>
      <w:pPr>
        <w:pStyle w:val="ListBullet"/>
      </w:pPr>
      <w:r>
        <w:rPr>
          <w:sz w:val="20"/>
        </w:rPr>
        <w:t>Immediate notification to bank of any litigation, regulatory action, or adverse news event.</w:t>
      </w:r>
    </w:p>
    <w:p>
      <w:pPr>
        <w:pStyle w:val="ListBullet"/>
      </w:pPr>
      <w:r>
        <w:rPr>
          <w:sz w:val="20"/>
        </w:rPr>
        <w:t>No additional secured borrowing above ₹1 Cr without bank's prior written consent.</w:t>
      </w:r>
    </w:p>
    <w:p>
      <w:pPr>
        <w:pStyle w:val="ListBullet"/>
      </w:pPr>
      <w:r>
        <w:rPr>
          <w:sz w:val="20"/>
        </w:rPr>
        <w:t>Promoter shareholding to remain above 51% throughout the loan tenure.</w:t>
      </w:r>
    </w:p>
    <w:p>
      <w:pPr>
        <w:pStyle w:val="ListBullet"/>
      </w:pPr>
      <w:r>
        <w:rPr>
          <w:sz w:val="20"/>
        </w:rPr>
        <w:t>Half-yearly internal audit report to be submitted to the bank.</w:t>
      </w:r>
    </w:p>
    <w:p>
      <w:pPr>
        <w:pStyle w:val="ListBullet"/>
      </w:pPr>
      <w:r>
        <w:rPr>
          <w:sz w:val="20"/>
        </w:rPr>
        <w:t>Annual site visit by bank credit officer — access to books and records to be provided.</w:t>
      </w:r>
    </w:p>
    <w:p/>
    <w:p>
      <w:pPr>
        <w:spacing w:before="80" w:after="120" w:line="280" w:lineRule="exact"/>
      </w:pPr>
      <w:r>
        <w:rPr>
          <w:sz w:val="20"/>
        </w:rPr>
        <w:t>The absence of identified significant risks implies a stable operational and financial profile for the borrower. However, the bank will maintain vigilance through ongoing monitoring and reporting requirements. The bank's security interest in the borrower's assets, perfected through the execution of loan and security documents, provides a primary mitigant. The requirement for a certificate from existing lenders confirming standard asset classification further reduces risk. Insurance coverage on hypothecated and mortgaged assets, with the bank named as beneficiary, protects against potential losses from unforeseen events. The board resolution ensures proper authorisation for the borrowing and security creation.</w:t>
        <w:br/>
        <w:br/>
        <w:t>Prior to the initial disbursement, Bhushan Power and Steel Limited must execute all loan and security documentation, including the loan agreement, hypothecation deed, and mortgage deed. The borrower must also provide its latest audited financial statements, not older than six months from the financial year-end. Further, the company must furnish a board resolution authorising the borrowing and creation of security, and evidence of insurance coverage on all secured assets, naming the bank as a beneficiary. Finally, a certificate from the borrower's existing lenders confirming that their facilities are classified as standard assets is required.</w:t>
        <w:br/>
        <w:br/>
        <w:t>Throughout the loan tenure, commencing from the date of disbursement, the borrower must adhere to specific covenants. These include the annual submission of audited financial statements within 90 days of the financial year-end, and quarterly submission of stock and debtors statements. The borrower must maintain a Debt Service Coverage Ratio (DSCR) of at least 1.25x, tested annually based on audited financials. The borrower must also notify the bank immediately of any litigation, regulatory action, or adverse news. Additional secured borrowing above ₹1 Crore is prohibited without prior written consent. Promoter shareholding must remain above 51%. Half-yearly internal audit reports must be submitted. The bank will conduct an annual site visit. Breach of any covenant will trigger the bank's right of recall.</w:t>
      </w:r>
    </w:p>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2C3E50"/>
        <w:sz w:val="14"/>
      </w:rPr>
      <w:t>CONFIDENTIAL — Bhushan Power and Steel Limited | CAM Ref: CAM/TEST_GEMINI_001/202603 | Generated: 04 Mar 2026 | Intelli-Credit AI Engine v3.0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