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1D4ED8"/>
          <w:sz w:val="22"/>
        </w:rPr>
        <w:t>SMART DENTAL DESK</w:t>
      </w:r>
    </w:p>
    <w:p>
      <w:pPr>
        <w:spacing w:before="0" w:after="80"/>
      </w:pPr>
      <w:r>
        <w:rPr>
          <w:b/>
          <w:i w:val="0"/>
          <w:color w:val="0B2A4A"/>
          <w:sz w:val="60"/>
        </w:rPr>
        <w:t>Grant Funding Proposal</w:t>
      </w:r>
    </w:p>
    <w:p>
      <w:pPr>
        <w:spacing w:before="0" w:after="280"/>
      </w:pPr>
      <w:r>
        <w:rPr>
          <w:b w:val="0"/>
          <w:i/>
          <w:color w:val="475569"/>
          <w:sz w:val="30"/>
        </w:rPr>
        <w:t>AI-Enabled Dental Practice Management &amp; Patient Engagement Platform</w:t>
      </w:r>
    </w:p>
    <w:p>
      <w:pPr>
        <w:spacing w:before="0" w:after="40"/>
      </w:pPr>
      <w:r>
        <w:rPr>
          <w:b/>
          <w:i w:val="0"/>
          <w:color w:val="475569"/>
          <w:sz w:val="22"/>
        </w:rPr>
        <w:t xml:space="preserve">Funding stage:  </w:t>
      </w:r>
      <w:r>
        <w:rPr>
          <w:b w:val="0"/>
          <w:i w:val="0"/>
          <w:color w:val="1F2A3D"/>
          <w:sz w:val="22"/>
        </w:rPr>
        <w:t>Pre-seed / Seed</w:t>
      </w:r>
      <w:r>
        <w:rPr>
          <w:b/>
          <w:i w:val="0"/>
          <w:color w:val="475569"/>
          <w:sz w:val="22"/>
        </w:rPr>
        <w:t xml:space="preserve">        Audience:  </w:t>
      </w:r>
      <w:r>
        <w:rPr>
          <w:b w:val="0"/>
          <w:i w:val="0"/>
          <w:color w:val="1F2A3D"/>
          <w:sz w:val="22"/>
        </w:rPr>
        <w:t>Canadian healthcare-AI grant program</w:t>
      </w:r>
    </w:p>
    <w:p>
      <w:pPr>
        <w:spacing w:before="0" w:after="40"/>
      </w:pPr>
      <w:r>
        <w:rPr>
          <w:b/>
          <w:i w:val="0"/>
          <w:color w:val="475569"/>
          <w:sz w:val="22"/>
        </w:rPr>
        <w:t xml:space="preserve">Prepared:  </w:t>
      </w:r>
      <w:r>
        <w:rPr>
          <w:b w:val="0"/>
          <w:i w:val="0"/>
          <w:color w:val="1F2A3D"/>
          <w:sz w:val="22"/>
        </w:rPr>
        <w:t>2026-05-22</w:t>
      </w:r>
      <w:r>
        <w:rPr>
          <w:b/>
          <w:i w:val="0"/>
          <w:color w:val="475569"/>
          <w:sz w:val="22"/>
        </w:rPr>
        <w:t xml:space="preserve">        Version:  </w:t>
      </w:r>
      <w:r>
        <w:rPr>
          <w:b w:val="0"/>
          <w:i w:val="0"/>
          <w:color w:val="1F2A3D"/>
          <w:sz w:val="22"/>
        </w:rPr>
        <w:t>1.0</w:t>
      </w:r>
    </w:p>
    <w:p>
      <w:pPr>
        <w:spacing w:before="0" w:after="240"/>
      </w:pPr>
      <w:r>
        <w:rPr>
          <w:b/>
          <w:i w:val="0"/>
          <w:color w:val="475569"/>
          <w:sz w:val="22"/>
        </w:rPr>
        <w:t xml:space="preserve">Contact:  </w:t>
      </w:r>
      <w:r>
        <w:rPr>
          <w:b w:val="0"/>
          <w:i w:val="0"/>
          <w:color w:val="1F2A3D"/>
          <w:sz w:val="22"/>
        </w:rPr>
        <w:t>pvprasanth474@gmail.com</w:t>
      </w:r>
    </w:p>
    <w:p>
      <w:pPr>
        <w:spacing w:before="0" w:after="200"/>
      </w:pPr>
      <w:r>
        <w:rPr>
          <w:b w:val="0"/>
          <w:i/>
          <w:color w:val="475569"/>
          <w:sz w:val="20"/>
        </w:rPr>
        <w:t>Placeholders marked [TBD] — fill before submission.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t>1. Executive Summary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Smart Dental Desk is a production-ready, AI-enabled dental practice management platform that automates clinical documentation, reduces no-shows, and surfaces operational insights — built on a country-agnostic architecture ready for Canadian commercialization.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The platform combines a NestJS multi-tenant backend, a Next.js web application, and a React Native mobile app for clinicians on the go. It is already deployed with paying clinics in a pilot market (India) and is structurally ready to onboard Canadian dental practices via a pluggable insurance/regulatory strategy layer (CDCP and Sun Life Canada providers already seeded).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Seven AI features are live in production — including AI-assisted clinical notes, prescription generation with safety checks, treatment plan synthesis, dental chart analysis, and a rules-based patient insights engine — all powered by Anthropic Claude and OpenAI APIs with prompt-cache cost optimization.</w:t>
      </w:r>
    </w:p>
    <w:p>
      <w:pPr>
        <w:spacing w:before="0" w:after="80"/>
      </w:pPr>
      <w:r>
        <w:rPr>
          <w:b/>
          <w:i w:val="0"/>
          <w:color w:val="0B2A4A"/>
          <w:sz w:val="22"/>
        </w:rPr>
        <w:t xml:space="preserve">Funding ask:  </w:t>
      </w:r>
      <w:r>
        <w:rPr>
          <w:b/>
          <w:i w:val="0"/>
          <w:color w:val="1F2A3D"/>
          <w:sz w:val="22"/>
        </w:rPr>
        <w:t>CAD $[TBD] over [TBD] months</w:t>
      </w:r>
      <w:r>
        <w:rPr>
          <w:b w:val="0"/>
          <w:i w:val="0"/>
          <w:color w:val="1F2A3D"/>
          <w:sz w:val="22"/>
        </w:rPr>
        <w:t xml:space="preserve"> to (a) complete Canadian regulatory adaptation (PIPEDA, PHIPA, CDA standards), (b) execute a 3-clinic pilot in Ontario/British Columbia, and (c) launch commercialization.</w:t>
      </w:r>
    </w:p>
    <w:p>
      <w:pPr>
        <w:pStyle w:val="Heading1"/>
      </w:pPr>
      <w:r>
        <w:t>2. Primary Objectives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Aligned with the program's commercialization and productivity criteria: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744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Objective</w:t>
            </w:r>
          </w:p>
        </w:tc>
        <w:tc>
          <w:tcPr>
            <w:tcW w:type="dxa" w:w="288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Measurable Target</w:t>
            </w:r>
          </w:p>
        </w:tc>
        <w:tc>
          <w:tcPr>
            <w:tcW w:type="dxa" w:w="288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57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1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Reduce dental administrative workload</w:t>
            </w:r>
          </w:p>
        </w:tc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40% reduction vs. baseline</w:t>
            </w:r>
          </w:p>
        </w:tc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MVP shipped, pilot data pending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2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Reduce appointment no-shows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30% reduction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AI Insights + WhatsApp reminders live</w:t>
            </w:r>
          </w:p>
        </w:tc>
      </w:tr>
      <w:tr>
        <w:tc>
          <w:tcPr>
            <w:tcW w:type="dxa" w:w="57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3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Improve clinic operational efficiency</w:t>
            </w:r>
          </w:p>
        </w:tc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25% improvement</w:t>
            </w:r>
          </w:p>
        </w:tc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Dashboards + automation cron in production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4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Automate clinical documentation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Voice + AI SOAP notes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5 of 7 modules live; voice in roadmap</w:t>
            </w:r>
          </w:p>
        </w:tc>
      </w:tr>
      <w:tr>
        <w:tc>
          <w:tcPr>
            <w:tcW w:type="dxa" w:w="57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5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Deploy AI patient-engagement systems</w:t>
            </w:r>
          </w:p>
        </w:tc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Campaigns + WhatsApp + insights</w:t>
            </w:r>
          </w:p>
        </w:tc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Live in production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6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Commercialize scalable Canadian healthcare AI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First Canadian clinic by [Q+TBD]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Architecture ready; pilot pending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3. Problem Statement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Canadian dental practices face four compounding pressures:</w:t>
      </w:r>
    </w:p>
    <w:p>
      <w:pPr>
        <w:spacing w:before="0" w:after="80"/>
      </w:pPr>
      <w:r>
        <w:rPr>
          <w:b/>
          <w:i w:val="0"/>
          <w:color w:val="0B2A4A"/>
          <w:sz w:val="22"/>
        </w:rPr>
        <w:t>1. Administrative overload.</w:t>
      </w:r>
      <w:r>
        <w:rPr>
          <w:b w:val="0"/>
          <w:i w:val="0"/>
          <w:color w:val="1F2A3D"/>
          <w:sz w:val="22"/>
        </w:rPr>
        <w:t xml:space="preserve"> Front-desk staff spend 30–45% of their shift on appointment management, recall calls, insurance pre-authorization paperwork, and post-visit follow-up — work that is repetitive and rules-based.</w:t>
      </w:r>
    </w:p>
    <w:p>
      <w:pPr>
        <w:spacing w:before="0" w:after="80"/>
      </w:pPr>
      <w:r>
        <w:rPr>
          <w:b/>
          <w:i w:val="0"/>
          <w:color w:val="0B2A4A"/>
          <w:sz w:val="22"/>
        </w:rPr>
        <w:t>2. No-show economics.</w:t>
      </w:r>
      <w:r>
        <w:rPr>
          <w:b w:val="0"/>
          <w:i w:val="0"/>
          <w:color w:val="1F2A3D"/>
          <w:sz w:val="22"/>
        </w:rPr>
        <w:t xml:space="preserve"> Industry estimates put no-show cost at CAD $150–$250 per missed slot. A typical 3-operatory clinic loses CAD $[TBD]/year to no-shows alone.</w:t>
      </w:r>
    </w:p>
    <w:p>
      <w:pPr>
        <w:spacing w:before="0" w:after="80"/>
      </w:pPr>
      <w:r>
        <w:rPr>
          <w:b/>
          <w:i w:val="0"/>
          <w:color w:val="0B2A4A"/>
          <w:sz w:val="22"/>
        </w:rPr>
        <w:t>3. Clinical documentation burden.</w:t>
      </w:r>
      <w:r>
        <w:rPr>
          <w:b w:val="0"/>
          <w:i w:val="0"/>
          <w:color w:val="1F2A3D"/>
          <w:sz w:val="22"/>
        </w:rPr>
        <w:t xml:space="preserve"> Dentists spend an average of 30 minutes per day re-typing the same SOAP-note phrasings and prescriptions; mid-career clinicians cite documentation as a top-3 burnout driver.</w:t>
      </w:r>
    </w:p>
    <w:p>
      <w:pPr>
        <w:spacing w:before="0" w:after="80"/>
      </w:pPr>
      <w:r>
        <w:rPr>
          <w:b/>
          <w:i w:val="0"/>
          <w:color w:val="0B2A4A"/>
          <w:sz w:val="22"/>
        </w:rPr>
        <w:t>4. Fragmented software stack.</w:t>
      </w:r>
      <w:r>
        <w:rPr>
          <w:b w:val="0"/>
          <w:i w:val="0"/>
          <w:color w:val="1F2A3D"/>
          <w:sz w:val="22"/>
        </w:rPr>
        <w:t xml:space="preserve"> Most existing PMS tools (Dentrix, ABELDent, ClearDent) were architected pre-2010, run on local servers, lack first-class AI, and charge enterprise prices that lock out independent practices.</w:t>
      </w:r>
    </w:p>
    <w:p>
      <w:pPr>
        <w:spacing w:before="120" w:after="80"/>
      </w:pPr>
      <w:r>
        <w:rPr>
          <w:b w:val="0"/>
          <w:i w:val="0"/>
          <w:color w:val="1F2A3D"/>
          <w:sz w:val="22"/>
        </w:rPr>
        <w:t>The opportunity: a cloud-native, AI-first platform delivered as a single integrated product — patient management + clinical + billing + insurance + AI + patient engagement — at a price point accessible to single-chair clinics.</w:t>
      </w:r>
    </w:p>
    <w:p>
      <w:pPr>
        <w:pStyle w:val="Heading1"/>
      </w:pPr>
      <w:r>
        <w:t>4. Solution Overview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Smart Dental Desk is a fully integrated SaaS platform delivered across three surfaces:</w:t>
      </w:r>
    </w:p>
    <w:p>
      <w:pPr>
        <w:pStyle w:val="Heading2"/>
      </w:pPr>
      <w:r>
        <w:t>4.1  Web application (clinic operations)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Full-featured Next.js application covering: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Patient master + medical history + dental chart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Appointment scheduling with conflict detection and recall automation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Clinical visit / consultation flows (SOAP notes, examinations, diagnoses)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Treatment plans with phases, urgency tiers, alternatives, and cost projections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Prescriptions with drug-interaction safety checks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Inventory + medicine stock management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Invoicing, payments, GST/tax, expense tracking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Insurance empanelment, pre-authorization, claims, reimbursement allocation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Multi-channel patient communication: Email, SMS, WhatsApp, in-app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Marketing campaigns + referral tracking + feedback collection</w:t>
      </w:r>
    </w:p>
    <w:p>
      <w:pPr>
        <w:pStyle w:val="Heading2"/>
      </w:pPr>
      <w:r>
        <w:t>4.2  Mobile application (clinician-facing)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React Native (Expo) app — patient lookup, appointment view, treatment notes, prescriptions, billing, and WhatsApp inbox from the dentist's phone.</w:t>
      </w:r>
    </w:p>
    <w:p>
      <w:pPr>
        <w:pStyle w:val="Heading2"/>
      </w:pPr>
      <w:r>
        <w:t>4.3  AI feature suite (live in production)</w:t>
      </w:r>
    </w:p>
    <w:p>
      <w:pPr>
        <w:spacing w:before="0" w:after="60"/>
      </w:pPr>
      <w:r>
        <w:rPr>
          <w:b/>
          <w:i w:val="0"/>
          <w:color w:val="0B2A4A"/>
          <w:sz w:val="22"/>
        </w:rPr>
        <w:t xml:space="preserve">1. AI Clinical Notes — </w:t>
      </w:r>
      <w:r>
        <w:rPr>
          <w:b w:val="0"/>
          <w:i w:val="0"/>
          <w:color w:val="1F2A3D"/>
          <w:sz w:val="22"/>
        </w:rPr>
        <w:t>generates structured SOAP notes from short prompts; populates the same ClinicalVisit model as manual entry.</w:t>
      </w:r>
    </w:p>
    <w:p>
      <w:pPr>
        <w:spacing w:before="0" w:after="60"/>
      </w:pPr>
      <w:r>
        <w:rPr>
          <w:b/>
          <w:i w:val="0"/>
          <w:color w:val="0B2A4A"/>
          <w:sz w:val="22"/>
        </w:rPr>
        <w:t xml:space="preserve">2. AI Treatment Plan — </w:t>
      </w:r>
      <w:r>
        <w:rPr>
          <w:b w:val="0"/>
          <w:i w:val="0"/>
          <w:color w:val="1F2A3D"/>
          <w:sz w:val="22"/>
        </w:rPr>
        <w:t>generates multi-phase treatment plans with urgency, alternatives, and cost.</w:t>
      </w:r>
    </w:p>
    <w:p>
      <w:pPr>
        <w:spacing w:before="0" w:after="60"/>
      </w:pPr>
      <w:r>
        <w:rPr>
          <w:b/>
          <w:i w:val="0"/>
          <w:color w:val="0B2A4A"/>
          <w:sz w:val="22"/>
        </w:rPr>
        <w:t xml:space="preserve">3. AI Prescription with safety checks — </w:t>
      </w:r>
      <w:r>
        <w:rPr>
          <w:b w:val="0"/>
          <w:i w:val="0"/>
          <w:color w:val="1F2A3D"/>
          <w:sz w:val="22"/>
        </w:rPr>
        <w:t>patient-allergy, age, pregnancy, and drug-interaction aware; inventory-aware (prescribes from clinic stock first).</w:t>
      </w:r>
    </w:p>
    <w:p>
      <w:pPr>
        <w:spacing w:before="0" w:after="60"/>
      </w:pPr>
      <w:r>
        <w:rPr>
          <w:b/>
          <w:i w:val="0"/>
          <w:color w:val="0B2A4A"/>
          <w:sz w:val="22"/>
        </w:rPr>
        <w:t xml:space="preserve">4. AI Dental Chart Analyzer — </w:t>
      </w:r>
      <w:r>
        <w:rPr>
          <w:b w:val="0"/>
          <w:i w:val="0"/>
          <w:color w:val="1F2A3D"/>
          <w:sz w:val="22"/>
        </w:rPr>
        <w:t>Claude/GPT-4 vision: analyzes uploaded dental charts and X-ray images (assistive, not diagnostic).</w:t>
      </w:r>
    </w:p>
    <w:p>
      <w:pPr>
        <w:spacing w:before="0" w:after="60"/>
      </w:pPr>
      <w:r>
        <w:rPr>
          <w:b/>
          <w:i w:val="0"/>
          <w:color w:val="0B2A4A"/>
          <w:sz w:val="22"/>
        </w:rPr>
        <w:t xml:space="preserve">5. AI Revenue Insights — </w:t>
      </w:r>
      <w:r>
        <w:rPr>
          <w:b w:val="0"/>
          <w:i w:val="0"/>
          <w:color w:val="1F2A3D"/>
          <w:sz w:val="22"/>
        </w:rPr>
        <w:t>surfaces revenue anomalies and growth levers from billing data.</w:t>
      </w:r>
    </w:p>
    <w:p>
      <w:pPr>
        <w:spacing w:before="0" w:after="60"/>
      </w:pPr>
      <w:r>
        <w:rPr>
          <w:b/>
          <w:i w:val="0"/>
          <w:color w:val="0B2A4A"/>
          <w:sz w:val="22"/>
        </w:rPr>
        <w:t xml:space="preserve">6. AI Appointment Summary — </w:t>
      </w:r>
      <w:r>
        <w:rPr>
          <w:b w:val="0"/>
          <w:i w:val="0"/>
          <w:color w:val="1F2A3D"/>
          <w:sz w:val="22"/>
        </w:rPr>
        <w:t>post-visit summarization.</w:t>
      </w:r>
    </w:p>
    <w:p>
      <w:pPr>
        <w:spacing w:before="0" w:after="60"/>
      </w:pPr>
      <w:r>
        <w:rPr>
          <w:b/>
          <w:i w:val="0"/>
          <w:color w:val="0B2A4A"/>
          <w:sz w:val="22"/>
        </w:rPr>
        <w:t xml:space="preserve">7. AI Campaign Content Generator — </w:t>
      </w:r>
      <w:r>
        <w:rPr>
          <w:b w:val="0"/>
          <w:i w:val="0"/>
          <w:color w:val="1F2A3D"/>
          <w:sz w:val="22"/>
        </w:rPr>
        <w:t>drafts multi-language patient campaigns.</w:t>
      </w:r>
    </w:p>
    <w:p>
      <w:pPr>
        <w:spacing w:before="120" w:after="80"/>
      </w:pPr>
      <w:r>
        <w:rPr>
          <w:b w:val="0"/>
          <w:i w:val="0"/>
          <w:color w:val="1F2A3D"/>
          <w:sz w:val="22"/>
        </w:rPr>
        <w:t>A nightly batch computes Patient Insight Scores (no-show risk, recall due, churn risk, conversion likelihood) using rules-based scoring in PostgreSQL — zero AI cost on page load, with LLM reserved for on-click "explain" actions.</w:t>
      </w:r>
    </w:p>
    <w:p>
      <w:pPr>
        <w:pStyle w:val="Heading2"/>
      </w:pPr>
      <w:r>
        <w:t>4.4  Integrations live today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Razorpay (will be paired with Stripe / Moneris for Canada)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WhatsApp Cloud API (Meta-approved, embedded signup in progress)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Email (transactional + campaign)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File uploads (S3-compatible)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OpenAI + Anthropic Claude</w:t>
      </w:r>
    </w:p>
    <w:p>
      <w:pPr>
        <w:pStyle w:val="Heading1"/>
      </w:pPr>
      <w:r>
        <w:t>5. AI Relevance — Real AI, Not Basic Automation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The program asks for "real AI, not basic automation." Our AI surface: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Capability</w:t>
            </w:r>
          </w:p>
        </w:tc>
        <w:tc>
          <w:tcPr>
            <w:tcW w:type="dxa" w:w="3744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Underlying technique</w:t>
            </w:r>
          </w:p>
        </w:tc>
        <w:tc>
          <w:tcPr>
            <w:tcW w:type="dxa" w:w="3744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Why this is real AI</w:t>
            </w:r>
          </w:p>
        </w:tc>
      </w:tr>
      <w:tr>
        <w:tc>
          <w:tcPr>
            <w:tcW w:type="dxa" w:w="259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Clinical note generation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LLM (Claude + GPT-4) with structured JSON schemas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Context-aware generation across patient history, allergies, complaints — not template substitution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Treatment plan synthesis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LLM chain-of-thought with phase / urgency / alternative reasoning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Generates multi-row TreatmentPlan + Item records with internal consistency</w:t>
            </w:r>
          </w:p>
        </w:tc>
      </w:tr>
      <w:tr>
        <w:tc>
          <w:tcPr>
            <w:tcW w:type="dxa" w:w="259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Prescription safety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LLM + structured inventory lookup + drug-interaction rules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Combines symbolic medical knowledge with retrieval-augmented generation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Dental chart vision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LLM vision (Claude Vision, GPT-4V)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Image understanding on radiographs and intraoral photos</w:t>
            </w:r>
          </w:p>
        </w:tc>
      </w:tr>
      <w:tr>
        <w:tc>
          <w:tcPr>
            <w:tcW w:type="dxa" w:w="259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Voice-to-consultation (roadmap)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OpenAI Whisper + LLM extraction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Speech recognition → structured EHR fields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Patient insights scoring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Rules-based scoring in DB; LLM for explanations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Hybrid: deterministic scoring for cost control, LLM for reasoning</w:t>
            </w:r>
          </w:p>
        </w:tc>
      </w:tr>
      <w:tr>
        <w:tc>
          <w:tcPr>
            <w:tcW w:type="dxa" w:w="259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Cost optimization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Anthropic prompt caching (90% reduction)</w:t>
            </w:r>
          </w:p>
        </w:tc>
        <w:tc>
          <w:tcPr>
            <w:tcW w:type="dxa" w:w="374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Production-grade engineering, not a demo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b/>
          <w:i w:val="0"/>
          <w:color w:val="0B2A4A"/>
          <w:sz w:val="22"/>
        </w:rPr>
        <w:t xml:space="preserve">Deliberate exclusion of fake AI.  </w:t>
      </w:r>
      <w:r>
        <w:rPr>
          <w:b w:val="0"/>
          <w:i w:val="0"/>
          <w:color w:val="1F2A3D"/>
          <w:sz w:val="22"/>
        </w:rPr>
        <w:t>We do not claim ML-trained no-show predictors, inventory forecasters, or revenue anomaly classifiers — those require training infrastructure and data scale we do not yet have. Where these features appear in the product, they are honestly labeled as rules-based scoring or LLM-explained heuristics.</w:t>
      </w:r>
    </w:p>
    <w:p>
      <w:pPr>
        <w:pStyle w:val="Heading1"/>
      </w:pPr>
      <w:r>
        <w:t>6. Productivity &amp; Operational Impact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2448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Baseline (typical Canadian solo practice)</w:t>
            </w:r>
          </w:p>
        </w:tc>
        <w:tc>
          <w:tcPr>
            <w:tcW w:type="dxa" w:w="2736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With Smart Dental Desk (target)</w:t>
            </w:r>
          </w:p>
        </w:tc>
        <w:tc>
          <w:tcPr>
            <w:tcW w:type="dxa" w:w="2448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Mechanism</w:t>
            </w:r>
          </w:p>
        </w:tc>
      </w:tr>
      <w:tr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Front-desk admin hours/day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4–5 hrs</w:t>
            </w:r>
          </w:p>
        </w:tc>
        <w:tc>
          <w:tcPr>
            <w:tcW w:type="dxa" w:w="273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2.5–3 hrs (40% reduction)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Recall automation, WhatsApp/SMS reminders, AI-generated communication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No-show rate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12–18%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8–12% (30% reduction)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Multi-channel reminders + no-show risk scoring + waitlist auto-fill</w:t>
            </w:r>
          </w:p>
        </w:tc>
      </w:tr>
      <w:tr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Documentation time per patient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8–10 min</w:t>
            </w:r>
          </w:p>
        </w:tc>
        <w:tc>
          <w:tcPr>
            <w:tcW w:type="dxa" w:w="273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3–5 min (50% reduction)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AI clinical notes + voice (roadmap)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Prescription error rate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Industry baseline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Safety-checked at write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Allergy / interaction / age guardrails</w:t>
            </w:r>
          </w:p>
        </w:tc>
      </w:tr>
      <w:tr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Insurance claim turnaround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14–21 days</w:t>
            </w:r>
          </w:p>
        </w:tc>
        <w:tc>
          <w:tcPr>
            <w:tcW w:type="dxa" w:w="273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[TBD pilot data]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Pre-auth workflow + claim tracking + reimbursement allocation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Patient lifetime value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Baseline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+15–25% target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Recall + churn-risk surfacing + conversion of pending plans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b w:val="0"/>
          <w:i/>
          <w:color w:val="475569"/>
          <w:sz w:val="22"/>
        </w:rPr>
        <w:t>Targets above will be validated in the Canadian pilot (Section 9).</w:t>
      </w:r>
    </w:p>
    <w:p>
      <w:pPr>
        <w:pStyle w:val="Heading1"/>
      </w:pPr>
      <w:r>
        <w:t>7. Technical Readiness — MVP, Pilot, and Feasibility</w:t>
      </w:r>
    </w:p>
    <w:p>
      <w:pPr>
        <w:pStyle w:val="Heading2"/>
      </w:pPr>
      <w:r>
        <w:t>7.1  Current development phases (completed)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648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Scope</w:t>
            </w:r>
          </w:p>
        </w:tc>
        <w:tc>
          <w:tcPr>
            <w:tcW w:type="dxa" w:w="2304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29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Phase 1</w:t>
            </w:r>
          </w:p>
        </w:tc>
        <w:tc>
          <w:tcPr>
            <w:tcW w:type="dxa" w:w="64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NestJS + Prisma + PostgreSQL backend; multi-tenant; RBAC; subscriptions; AI quota</w:t>
            </w:r>
          </w:p>
        </w:tc>
        <w:tc>
          <w:tcPr>
            <w:tcW w:type="dxa" w:w="230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100% (365+ tests)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Phase 2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Next.js web app — full CRUD, dental chart, invoices, reports, AI features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100%</w:t>
            </w:r>
          </w:p>
        </w:tc>
      </w:tr>
      <w:tr>
        <w:tc>
          <w:tcPr>
            <w:tcW w:type="dxa" w:w="129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Phase 2.5</w:t>
            </w:r>
          </w:p>
        </w:tc>
        <w:tc>
          <w:tcPr>
            <w:tcW w:type="dxa" w:w="64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Frontend hardening — exports, virtual scrolling, Vitest + Playwright</w:t>
            </w:r>
          </w:p>
        </w:tc>
        <w:tc>
          <w:tcPr>
            <w:tcW w:type="dxa" w:w="230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100%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Phase 3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Email, in-app, campaigns, automation crons, feedback, WhatsApp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~85%</w:t>
            </w:r>
          </w:p>
        </w:tc>
      </w:tr>
      <w:tr>
        <w:tc>
          <w:tcPr>
            <w:tcW w:type="dxa" w:w="129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Phase 4</w:t>
            </w:r>
          </w:p>
        </w:tc>
        <w:tc>
          <w:tcPr>
            <w:tcW w:type="dxa" w:w="64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Docker, CI/CD, Helmet, CSRF, backup, payments, landing page</w:t>
            </w:r>
          </w:p>
        </w:tc>
        <w:tc>
          <w:tcPr>
            <w:tcW w:type="dxa" w:w="230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100%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Phase 5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7 AI features in production, feature-guarded with quota enforcement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100%</w:t>
            </w:r>
          </w:p>
        </w:tc>
      </w:tr>
      <w:tr>
        <w:tc>
          <w:tcPr>
            <w:tcW w:type="dxa" w:w="129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Phase 6</w:t>
            </w:r>
          </w:p>
        </w:tc>
        <w:tc>
          <w:tcPr>
            <w:tcW w:type="dxa" w:w="64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React Native (Expo) mobile app</w:t>
            </w:r>
          </w:p>
        </w:tc>
        <w:tc>
          <w:tcPr>
            <w:tcW w:type="dxa" w:w="230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Complete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Phase 7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Insurance &amp; EHS module — 11 Prisma models, country-strategy pattern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Backend complete; frontend in progress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7.2  Architecture highlights</w:t>
      </w:r>
    </w:p>
    <w:p>
      <w:pPr>
        <w:spacing w:before="0" w:after="60"/>
      </w:pPr>
      <w:r>
        <w:rPr>
          <w:b/>
          <w:i w:val="0"/>
          <w:color w:val="1D4ED8"/>
          <w:sz w:val="22"/>
        </w:rPr>
        <w:t xml:space="preserve">•  </w:t>
      </w:r>
      <w:r>
        <w:rPr>
          <w:b/>
          <w:i w:val="0"/>
          <w:color w:val="0B2A4A"/>
          <w:sz w:val="22"/>
        </w:rPr>
        <w:t>Country-agnostic insurance / regulatory layer.</w:t>
      </w:r>
      <w:r>
        <w:rPr>
          <w:b w:val="0"/>
          <w:i w:val="0"/>
          <w:color w:val="1F2A3D"/>
          <w:sz w:val="22"/>
        </w:rPr>
        <w:t xml:space="preserve"> A CountryStrategy pattern in the insurance module means Canada plugs in as a new strategy class without schema changes. Canadian providers (CDCP, Sun Life Canada) are already seeded.</w:t>
      </w:r>
    </w:p>
    <w:p>
      <w:pPr>
        <w:spacing w:before="0" w:after="60"/>
      </w:pPr>
      <w:r>
        <w:rPr>
          <w:b/>
          <w:i w:val="0"/>
          <w:color w:val="1D4ED8"/>
          <w:sz w:val="22"/>
        </w:rPr>
        <w:t xml:space="preserve">•  </w:t>
      </w:r>
      <w:r>
        <w:rPr>
          <w:b/>
          <w:i w:val="0"/>
          <w:color w:val="0B2A4A"/>
          <w:sz w:val="22"/>
        </w:rPr>
        <w:t>Multi-tenant by design.</w:t>
      </w:r>
      <w:r>
        <w:rPr>
          <w:b w:val="0"/>
          <w:i w:val="0"/>
          <w:color w:val="1F2A3D"/>
          <w:sz w:val="22"/>
        </w:rPr>
        <w:t xml:space="preserve"> Every entity is scoped by clinic_id with row-level enforcement; supports single clinics through multi-branch chains.</w:t>
      </w:r>
    </w:p>
    <w:p>
      <w:pPr>
        <w:spacing w:before="0" w:after="60"/>
      </w:pPr>
      <w:r>
        <w:rPr>
          <w:b/>
          <w:i w:val="0"/>
          <w:color w:val="1D4ED8"/>
          <w:sz w:val="22"/>
        </w:rPr>
        <w:t xml:space="preserve">•  </w:t>
      </w:r>
      <w:r>
        <w:rPr>
          <w:b/>
          <w:i w:val="0"/>
          <w:color w:val="0B2A4A"/>
          <w:sz w:val="22"/>
        </w:rPr>
        <w:t>Feature flags + plan-gated AI quotas.</w:t>
      </w:r>
      <w:r>
        <w:rPr>
          <w:b w:val="0"/>
          <w:i w:val="0"/>
          <w:color w:val="1F2A3D"/>
          <w:sz w:val="22"/>
        </w:rPr>
        <w:t xml:space="preserve"> Each AI feature is gated by both subscription plan and per-clinic quota; no surprise bills.</w:t>
      </w:r>
    </w:p>
    <w:p>
      <w:pPr>
        <w:spacing w:before="0" w:after="60"/>
      </w:pPr>
      <w:r>
        <w:rPr>
          <w:b/>
          <w:i w:val="0"/>
          <w:color w:val="1D4ED8"/>
          <w:sz w:val="22"/>
        </w:rPr>
        <w:t xml:space="preserve">•  </w:t>
      </w:r>
      <w:r>
        <w:rPr>
          <w:b/>
          <w:i w:val="0"/>
          <w:color w:val="0B2A4A"/>
          <w:sz w:val="22"/>
        </w:rPr>
        <w:t>Production hardening.</w:t>
      </w:r>
      <w:r>
        <w:rPr>
          <w:b w:val="0"/>
          <w:i w:val="0"/>
          <w:color w:val="1F2A3D"/>
          <w:sz w:val="22"/>
        </w:rPr>
        <w:t xml:space="preserve"> Helmet, CSRF, rate limiting, automated DB backup, structured logging, observability hooks.</w:t>
      </w:r>
    </w:p>
    <w:p>
      <w:pPr>
        <w:pStyle w:val="Heading2"/>
      </w:pPr>
      <w:r>
        <w:t>7.3  Security &amp; compliance posture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Current state is production-grade for India. For Canadian deployment we will complete: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PIPEDA &amp; PHIPA alignment (data residency, consent, breach notification)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Canadian-region cloud hosting (AWS Canada Central or Azure Canada Central)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SOC 2 Type I (Year 1) → Type II (Year 2)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Penetration testing + remediation of open code-review findings (15 items tracked internally, all non-blocking)</w:t>
      </w:r>
    </w:p>
    <w:p>
      <w:pPr>
        <w:pStyle w:val="Heading1"/>
      </w:pPr>
      <w:r>
        <w:t>8. Collaboration &amp; Consortium Plan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The program rewards consortium structure. Proposed partners: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60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Partner type</w:t>
            </w:r>
          </w:p>
        </w:tc>
        <w:tc>
          <w:tcPr>
            <w:tcW w:type="dxa" w:w="4032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2448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360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Academic — Canadian dental school (Schulich / U of T / UBC)</w:t>
            </w:r>
          </w:p>
        </w:tc>
        <w:tc>
          <w:tcPr>
            <w:tcW w:type="dxa" w:w="403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Clinical validation, research publication, resident training program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[Outreach planned]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Clinical — Multi-location DSO or dentist association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Pilot deployment, real-world data, advisory board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[Identifying 3 candidates]</w:t>
            </w:r>
          </w:p>
        </w:tc>
      </w:tr>
      <w:tr>
        <w:tc>
          <w:tcPr>
            <w:tcW w:type="dxa" w:w="360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Technology — Canadian cloud + AI infra partner</w:t>
            </w:r>
          </w:p>
        </w:tc>
        <w:tc>
          <w:tcPr>
            <w:tcW w:type="dxa" w:w="403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Hosting, data residency, MLOps support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[AWS / Azure CSP engagement]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Regulatory — Privacy/compliance consultancy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PIPEDA / PHIPA audit + ongoing compliance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[Quote in progress]</w:t>
            </w:r>
          </w:p>
        </w:tc>
      </w:tr>
      <w:tr>
        <w:tc>
          <w:tcPr>
            <w:tcW w:type="dxa" w:w="360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Advisor — Practicing Canadian dentist + industry vet</w:t>
            </w:r>
          </w:p>
        </w:tc>
        <w:tc>
          <w:tcPr>
            <w:tcW w:type="dxa" w:w="403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Product-market-fit oversight, intro pipeline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[1 identified, 2 in pipeline]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b w:val="0"/>
          <w:i/>
          <w:color w:val="475569"/>
          <w:sz w:val="22"/>
        </w:rPr>
        <w:t>Letters of intent / collaboration MOUs to be appended in Annex A.</w:t>
      </w:r>
    </w:p>
    <w:p>
      <w:pPr>
        <w:pStyle w:val="Heading1"/>
      </w:pPr>
      <w:r>
        <w:t>9. Commercialization Plan</w:t>
      </w:r>
    </w:p>
    <w:p>
      <w:pPr>
        <w:pStyle w:val="Heading2"/>
      </w:pPr>
      <w:r>
        <w:t>9.1  Pricing (initial Canadian model)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Mirrors the validated 3-tier structure already running in India, repriced for Canada: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Plan</w:t>
            </w:r>
          </w:p>
        </w:tc>
        <w:tc>
          <w:tcPr>
            <w:tcW w:type="dxa" w:w="2736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India price (validated)</w:t>
            </w:r>
          </w:p>
        </w:tc>
        <w:tc>
          <w:tcPr>
            <w:tcW w:type="dxa" w:w="288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Canada price (proposed)</w:t>
            </w:r>
          </w:p>
        </w:tc>
        <w:tc>
          <w:tcPr>
            <w:tcW w:type="dxa" w:w="2448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Positioning</w:t>
            </w:r>
          </w:p>
        </w:tc>
      </w:tr>
      <w:tr>
        <w:tc>
          <w:tcPr>
            <w:tcW w:type="dxa" w:w="230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Free</w:t>
            </w:r>
          </w:p>
        </w:tc>
        <w:tc>
          <w:tcPr>
            <w:tcW w:type="dxa" w:w="273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₹0</w:t>
            </w:r>
          </w:p>
        </w:tc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CAD $0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Try-before-buy; 1 doctor cap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Standard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₹699/mo (~CAD $11)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CAD $49–69/mo [TBD]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Solo/duo practice</w:t>
            </w:r>
          </w:p>
        </w:tc>
      </w:tr>
      <w:tr>
        <w:tc>
          <w:tcPr>
            <w:tcW w:type="dxa" w:w="2304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Growth</w:t>
            </w:r>
          </w:p>
        </w:tc>
        <w:tc>
          <w:tcPr>
            <w:tcW w:type="dxa" w:w="273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₹1,299/mo (~CAD $21)</w:t>
            </w:r>
          </w:p>
        </w:tc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CAD $99–149/mo [TBD]</w:t>
            </w:r>
          </w:p>
        </w:tc>
        <w:tc>
          <w:tcPr>
            <w:tcW w:type="dxa" w:w="244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Multi-op + automation + own WhatsApp Business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Enterprise (sales-led)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Custom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Custom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DSO / multi-branch chains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b w:val="0"/>
          <w:i/>
          <w:color w:val="475569"/>
          <w:sz w:val="22"/>
        </w:rPr>
        <w:t>Pricing rationale: existing Canadian competitors charge CAD $200–500+/op/month. Our cloud-native cost structure plus AI quota model allows aggressive entry pricing.</w:t>
      </w:r>
    </w:p>
    <w:p>
      <w:pPr>
        <w:pStyle w:val="Heading2"/>
      </w:pPr>
      <w:r>
        <w:t>9.2  Go-to-market sequencing</w:t>
      </w:r>
    </w:p>
    <w:p>
      <w:pPr>
        <w:spacing w:before="0" w:after="80"/>
      </w:pPr>
      <w:r>
        <w:rPr>
          <w:b/>
          <w:i w:val="0"/>
          <w:color w:val="0B2A4A"/>
          <w:sz w:val="22"/>
        </w:rPr>
        <w:t>Year 1 (post-funding):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Q1: Canadian regulatory adaptation + Canadian cloud deployment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Q2: 3-clinic pilot (Ontario + BC), KPI measurement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Q3: Public launch — dentist-association partnerships, content + SEO, conferences (ODA, BCDA, Pacific Dental Conference)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Q4: First 50 paying Canadian clinics</w:t>
      </w:r>
    </w:p>
    <w:p>
      <w:pPr>
        <w:spacing w:before="80" w:after="80"/>
      </w:pPr>
      <w:r>
        <w:rPr>
          <w:b/>
          <w:i w:val="0"/>
          <w:color w:val="0B2A4A"/>
          <w:sz w:val="22"/>
        </w:rPr>
        <w:t>Year 2: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250 Canadian clinics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DSO partnership pilots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US adjacent-market exploration (US strategies for Delta Dental, MetLife already seeded)</w:t>
      </w:r>
    </w:p>
    <w:p>
      <w:pPr>
        <w:pStyle w:val="Heading2"/>
      </w:pPr>
      <w:r>
        <w:t>9.3  Revenue model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SaaS subscription (primary)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WhatsApp / SMS / AI usage overages (Standard + Growth)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Enterprise / DSO contracts (custom)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Future: marketplace fees (lab partners, imaging), insurance claim service fees</w:t>
      </w:r>
    </w:p>
    <w:p>
      <w:pPr>
        <w:pStyle w:val="Heading2"/>
      </w:pPr>
      <w:r>
        <w:t>9.4  Unit economics (target)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CAC: CAD $[TBD] (founder-led + content/SEO + association partnerships)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ACV: CAD $[TBD] (blended)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Gross margin: 80%+ (cloud SaaS with capped AI quota)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Payback period: [TBD months]</w:t>
      </w:r>
    </w:p>
    <w:p>
      <w:pPr>
        <w:pStyle w:val="ListBullet"/>
        <w:spacing w:after="40"/>
      </w:pPr>
      <w:r>
        <w:rPr>
          <w:b w:val="0"/>
          <w:color w:val="1F2A3D"/>
          <w:sz w:val="22"/>
        </w:rPr>
        <w:t>LTV / CAC target: 4x by Year 2</w:t>
      </w:r>
    </w:p>
    <w:p>
      <w:pPr>
        <w:pStyle w:val="Heading1"/>
      </w:pPr>
      <w:r>
        <w:t>10. Team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3168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Name</w:t>
            </w:r>
          </w:p>
        </w:tc>
        <w:tc>
          <w:tcPr>
            <w:tcW w:type="dxa" w:w="4032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Background</w:t>
            </w:r>
          </w:p>
        </w:tc>
      </w:tr>
      <w:tr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Founder / CEO</w:t>
            </w:r>
          </w:p>
        </w:tc>
        <w:tc>
          <w:tcPr>
            <w:tcW w:type="dxa" w:w="316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[Name]</w:t>
            </w:r>
          </w:p>
        </w:tc>
        <w:tc>
          <w:tcPr>
            <w:tcW w:type="dxa" w:w="403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[Background]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Co-founder / Tech lead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Prasanth V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Full-stack engineer; built the entire platform; Claude-API caching specialist</w:t>
            </w:r>
          </w:p>
        </w:tc>
      </w:tr>
      <w:tr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Clinical advisor</w:t>
            </w:r>
          </w:p>
        </w:tc>
        <w:tc>
          <w:tcPr>
            <w:tcW w:type="dxa" w:w="316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[Name]</w:t>
            </w:r>
          </w:p>
        </w:tc>
        <w:tc>
          <w:tcPr>
            <w:tcW w:type="dxa" w:w="403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[Practicing dentist, X years]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Canadian market lead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[To recruit post-funding]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—</w:t>
            </w:r>
          </w:p>
        </w:tc>
      </w:tr>
      <w:tr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Compliance advisor</w:t>
            </w:r>
          </w:p>
        </w:tc>
        <w:tc>
          <w:tcPr>
            <w:tcW w:type="dxa" w:w="316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[To engage]</w:t>
            </w:r>
          </w:p>
        </w:tc>
        <w:tc>
          <w:tcPr>
            <w:tcW w:type="dxa" w:w="403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PIPEDA / PHIPA specialist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b w:val="0"/>
          <w:i/>
          <w:color w:val="475569"/>
          <w:sz w:val="22"/>
        </w:rPr>
        <w:t>Hiring plan post-funding: Canadian customer success lead, second backend engineer, sales / partnerships lead. Detailed org chart in Annex B.</w:t>
      </w:r>
    </w:p>
    <w:p>
      <w:pPr>
        <w:pStyle w:val="Heading1"/>
      </w:pPr>
      <w:r>
        <w:t>11. Funding Ask &amp; Use of Funds</w:t>
      </w:r>
    </w:p>
    <w:p>
      <w:pPr>
        <w:spacing w:before="0" w:after="160"/>
      </w:pPr>
      <w:r>
        <w:rPr>
          <w:b/>
          <w:i w:val="0"/>
          <w:color w:val="0B2A4A"/>
          <w:sz w:val="24"/>
        </w:rPr>
        <w:t xml:space="preserve">Total ask:  </w:t>
      </w:r>
      <w:r>
        <w:rPr>
          <w:b/>
          <w:i w:val="0"/>
          <w:color w:val="0A8A5A"/>
          <w:sz w:val="24"/>
        </w:rPr>
        <w:t>CAD $[TBD] over [TBD] months</w:t>
      </w:r>
    </w:p>
    <w:p>
      <w:pPr>
        <w:spacing w:before="0" w:after="80"/>
      </w:pPr>
      <w:r>
        <w:rPr>
          <w:b w:val="0"/>
          <w:i w:val="0"/>
          <w:color w:val="1F2A3D"/>
          <w:sz w:val="22"/>
        </w:rPr>
        <w:t>Indicative allocation (refine to grant program rules):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04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Bucket</w:t>
            </w:r>
          </w:p>
        </w:tc>
        <w:tc>
          <w:tcPr>
            <w:tcW w:type="dxa" w:w="1152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%</w:t>
            </w:r>
          </w:p>
        </w:tc>
        <w:tc>
          <w:tcPr>
            <w:tcW w:type="dxa" w:w="3888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50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Engineering (Canadian features, compliance, hardening)</w:t>
            </w:r>
          </w:p>
        </w:tc>
        <w:tc>
          <w:tcPr>
            <w:tcW w:type="dxa" w:w="11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35%</w:t>
            </w:r>
          </w:p>
        </w:tc>
        <w:tc>
          <w:tcPr>
            <w:tcW w:type="dxa" w:w="388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2 FTE + contractors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Pilot operations + clinical validation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20%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3-clinic pilot, data collection, study publication</w:t>
            </w:r>
          </w:p>
        </w:tc>
      </w:tr>
      <w:tr>
        <w:tc>
          <w:tcPr>
            <w:tcW w:type="dxa" w:w="50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Go-to-market (marketing, content, conferences, sales)</w:t>
            </w:r>
          </w:p>
        </w:tc>
        <w:tc>
          <w:tcPr>
            <w:tcW w:type="dxa" w:w="11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20%</w:t>
            </w:r>
          </w:p>
        </w:tc>
        <w:tc>
          <w:tcPr>
            <w:tcW w:type="dxa" w:w="388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Year 1 acquisition engine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Compliance + security (SOC 2, PIPEDA audit, pen test)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10%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Independent assessors</w:t>
            </w:r>
          </w:p>
        </w:tc>
      </w:tr>
      <w:tr>
        <w:tc>
          <w:tcPr>
            <w:tcW w:type="dxa" w:w="50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Infrastructure (Canadian cloud, observability)</w:t>
            </w:r>
          </w:p>
        </w:tc>
        <w:tc>
          <w:tcPr>
            <w:tcW w:type="dxa" w:w="11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5%</w:t>
            </w:r>
          </w:p>
        </w:tc>
        <w:tc>
          <w:tcPr>
            <w:tcW w:type="dxa" w:w="3888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AWS / Azure Canada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Working capital + contingency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10%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—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12. Risks &amp; Mitigations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Risk</w:t>
            </w:r>
          </w:p>
        </w:tc>
        <w:tc>
          <w:tcPr>
            <w:tcW w:type="dxa" w:w="1296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Likelihood</w:t>
            </w:r>
          </w:p>
        </w:tc>
        <w:tc>
          <w:tcPr>
            <w:tcW w:type="dxa" w:w="1152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Impact</w:t>
            </w:r>
          </w:p>
        </w:tc>
        <w:tc>
          <w:tcPr>
            <w:tcW w:type="dxa" w:w="4752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Slow regulatory adaptation</w:t>
            </w:r>
          </w:p>
        </w:tc>
        <w:tc>
          <w:tcPr>
            <w:tcW w:type="dxa" w:w="129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Med</w:t>
            </w:r>
          </w:p>
        </w:tc>
        <w:tc>
          <w:tcPr>
            <w:tcW w:type="dxa" w:w="11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High</w:t>
            </w:r>
          </w:p>
        </w:tc>
        <w:tc>
          <w:tcPr>
            <w:tcW w:type="dxa" w:w="47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Engage PIPEDA/PHIPA consultant from month 1; pilot under research-collab agreement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Canadian market entry slower than projected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Med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Med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India revenue cushion + lean ops; partnership-led entry (associations, DSOs)</w:t>
            </w:r>
          </w:p>
        </w:tc>
      </w:tr>
      <w:tr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AI cost escalation</w:t>
            </w:r>
          </w:p>
        </w:tc>
        <w:tc>
          <w:tcPr>
            <w:tcW w:type="dxa" w:w="129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Low</w:t>
            </w:r>
          </w:p>
        </w:tc>
        <w:tc>
          <w:tcPr>
            <w:tcW w:type="dxa" w:w="11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Med</w:t>
            </w:r>
          </w:p>
        </w:tc>
        <w:tc>
          <w:tcPr>
            <w:tcW w:type="dxa" w:w="47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Prompt caching live (90% reduction); per-plan quotas; deterministic rules for hot paths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Competition from incumbents adding AI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Med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Cloud-native + integrated suite vs. their bolt-on; speed advantage</w:t>
            </w:r>
          </w:p>
        </w:tc>
      </w:tr>
      <w:tr>
        <w:tc>
          <w:tcPr>
            <w:tcW w:type="dxa" w:w="288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Founder bandwidth</w:t>
            </w:r>
          </w:p>
        </w:tc>
        <w:tc>
          <w:tcPr>
            <w:tcW w:type="dxa" w:w="1296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Med</w:t>
            </w:r>
          </w:p>
        </w:tc>
        <w:tc>
          <w:tcPr>
            <w:tcW w:type="dxa" w:w="11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High</w:t>
            </w:r>
          </w:p>
        </w:tc>
        <w:tc>
          <w:tcPr>
            <w:tcW w:type="dxa" w:w="4752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Hire Canadian market lead + second engineer in month 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Data breach / security incident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Low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High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SOC 2, pen test, on-call rotation, breach playbook, cyber insurance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13. Milestones &amp; KPIs (12-month)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44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Month</w:t>
            </w:r>
          </w:p>
        </w:tc>
        <w:tc>
          <w:tcPr>
            <w:tcW w:type="dxa" w:w="8640"/>
            <w:vAlign w:val="center"/>
            <w:shd w:val="clear" w:color="auto" w:fill="0B2A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Milestone</w:t>
            </w:r>
          </w:p>
        </w:tc>
      </w:tr>
      <w:tr>
        <w:tc>
          <w:tcPr>
            <w:tcW w:type="dxa" w:w="14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M1</w:t>
            </w:r>
          </w:p>
        </w:tc>
        <w:tc>
          <w:tcPr>
            <w:tcW w:type="dxa" w:w="86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Canadian cloud deployment live; PIPEDA gap analysis 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M2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3 pilot LOIs signed; consortium partners onboarded</w:t>
            </w:r>
          </w:p>
        </w:tc>
      </w:tr>
      <w:tr>
        <w:tc>
          <w:tcPr>
            <w:tcW w:type="dxa" w:w="14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M3</w:t>
            </w:r>
          </w:p>
        </w:tc>
        <w:tc>
          <w:tcPr>
            <w:tcW w:type="dxa" w:w="86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First pilot clinic live in Ontario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M4–5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All 3 pilots running; weekly KPI measurement</w:t>
            </w:r>
          </w:p>
        </w:tc>
      </w:tr>
      <w:tr>
        <w:tc>
          <w:tcPr>
            <w:tcW w:type="dxa" w:w="14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M6</w:t>
            </w:r>
          </w:p>
        </w:tc>
        <w:tc>
          <w:tcPr>
            <w:tcW w:type="dxa" w:w="86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Mid-program report: validated reduction in admin time + no-shows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M7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Public Canadian launch</w:t>
            </w:r>
          </w:p>
        </w:tc>
      </w:tr>
      <w:tr>
        <w:tc>
          <w:tcPr>
            <w:tcW w:type="dxa" w:w="14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M8–10</w:t>
            </w:r>
          </w:p>
        </w:tc>
        <w:tc>
          <w:tcPr>
            <w:tcW w:type="dxa" w:w="86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First 25 paying clinics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M11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SOC 2 Type I complete</w:t>
            </w:r>
          </w:p>
        </w:tc>
      </w:tr>
      <w:tr>
        <w:tc>
          <w:tcPr>
            <w:tcW w:type="dxa" w:w="14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A8A5A"/>
                <w:sz w:val="21"/>
              </w:rPr>
              <w:t>M12</w:t>
            </w:r>
          </w:p>
        </w:tc>
        <w:tc>
          <w:tcPr>
            <w:tcW w:type="dxa" w:w="8640"/>
            <w:vAlign w:val="center"/>
            <w:shd w:val="clear" w:color="auto" w:fill="F3F6FB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F2A3D"/>
                <w:sz w:val="21"/>
              </w:rPr>
              <w:t>50 paying Canadian clinics; year-2 expansion plan submitted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b w:val="0"/>
          <w:i/>
          <w:color w:val="475569"/>
          <w:sz w:val="22"/>
        </w:rPr>
        <w:t>KPI dashboard updated monthly; quarterly review with grant program officer.</w:t>
      </w:r>
    </w:p>
    <w:p>
      <w:pPr>
        <w:pStyle w:val="Heading1"/>
      </w:pPr>
      <w:r>
        <w:t>14. Annexes (to attach before submission)</w:t>
      </w:r>
    </w:p>
    <w:p>
      <w:pPr>
        <w:spacing w:before="0" w:after="40"/>
      </w:pPr>
      <w:r>
        <w:rPr>
          <w:b/>
          <w:i w:val="0"/>
          <w:color w:val="1D4ED8"/>
          <w:sz w:val="22"/>
        </w:rPr>
        <w:t xml:space="preserve">A.  </w:t>
      </w:r>
      <w:r>
        <w:rPr>
          <w:b w:val="0"/>
          <w:i w:val="0"/>
          <w:color w:val="1F2A3D"/>
          <w:sz w:val="22"/>
        </w:rPr>
        <w:t>Letters of intent / collaboration MOUs</w:t>
      </w:r>
    </w:p>
    <w:p>
      <w:pPr>
        <w:spacing w:before="0" w:after="40"/>
      </w:pPr>
      <w:r>
        <w:rPr>
          <w:b/>
          <w:i w:val="0"/>
          <w:color w:val="1D4ED8"/>
          <w:sz w:val="22"/>
        </w:rPr>
        <w:t xml:space="preserve">B.  </w:t>
      </w:r>
      <w:r>
        <w:rPr>
          <w:b w:val="0"/>
          <w:i w:val="0"/>
          <w:color w:val="1F2A3D"/>
          <w:sz w:val="22"/>
        </w:rPr>
        <w:t>Detailed org chart + hiring plan</w:t>
      </w:r>
    </w:p>
    <w:p>
      <w:pPr>
        <w:spacing w:before="0" w:after="40"/>
      </w:pPr>
      <w:r>
        <w:rPr>
          <w:b/>
          <w:i w:val="0"/>
          <w:color w:val="1D4ED8"/>
          <w:sz w:val="22"/>
        </w:rPr>
        <w:t xml:space="preserve">C.  </w:t>
      </w:r>
      <w:r>
        <w:rPr>
          <w:b w:val="0"/>
          <w:i w:val="0"/>
          <w:color w:val="1F2A3D"/>
          <w:sz w:val="22"/>
        </w:rPr>
        <w:t>Technical architecture diagrams (extract from ARCHITECTURE.md)</w:t>
      </w:r>
    </w:p>
    <w:p>
      <w:pPr>
        <w:spacing w:before="0" w:after="40"/>
      </w:pPr>
      <w:r>
        <w:rPr>
          <w:b/>
          <w:i w:val="0"/>
          <w:color w:val="1D4ED8"/>
          <w:sz w:val="22"/>
        </w:rPr>
        <w:t xml:space="preserve">D.  </w:t>
      </w:r>
      <w:r>
        <w:rPr>
          <w:b w:val="0"/>
          <w:i w:val="0"/>
          <w:color w:val="1F2A3D"/>
          <w:sz w:val="22"/>
        </w:rPr>
        <w:t>Security &amp; compliance checklist (extract from SECURITY-CHECKLIST.md)</w:t>
      </w:r>
    </w:p>
    <w:p>
      <w:pPr>
        <w:spacing w:before="0" w:after="40"/>
      </w:pPr>
      <w:r>
        <w:rPr>
          <w:b/>
          <w:i w:val="0"/>
          <w:color w:val="1D4ED8"/>
          <w:sz w:val="22"/>
        </w:rPr>
        <w:t xml:space="preserve">E.  </w:t>
      </w:r>
      <w:r>
        <w:rPr>
          <w:b w:val="0"/>
          <w:i w:val="0"/>
          <w:color w:val="1F2A3D"/>
          <w:sz w:val="22"/>
        </w:rPr>
        <w:t>Product screenshots (web + mobile)</w:t>
      </w:r>
    </w:p>
    <w:p>
      <w:pPr>
        <w:spacing w:before="0" w:after="40"/>
      </w:pPr>
      <w:r>
        <w:rPr>
          <w:b/>
          <w:i w:val="0"/>
          <w:color w:val="1D4ED8"/>
          <w:sz w:val="22"/>
        </w:rPr>
        <w:t xml:space="preserve">F.  </w:t>
      </w:r>
      <w:r>
        <w:rPr>
          <w:b w:val="0"/>
          <w:i w:val="0"/>
          <w:color w:val="1F2A3D"/>
          <w:sz w:val="22"/>
        </w:rPr>
        <w:t>Existing AI feature demo links</w:t>
      </w:r>
    </w:p>
    <w:p>
      <w:pPr>
        <w:spacing w:before="0" w:after="40"/>
      </w:pPr>
      <w:r>
        <w:rPr>
          <w:b/>
          <w:i w:val="0"/>
          <w:color w:val="1D4ED8"/>
          <w:sz w:val="22"/>
        </w:rPr>
        <w:t xml:space="preserve">G.  </w:t>
      </w:r>
      <w:r>
        <w:rPr>
          <w:b w:val="0"/>
          <w:i w:val="0"/>
          <w:color w:val="1F2A3D"/>
          <w:sz w:val="22"/>
        </w:rPr>
        <w:t>Pilot clinic profiles</w:t>
      </w:r>
    </w:p>
    <w:p>
      <w:pPr>
        <w:spacing w:before="0" w:after="40"/>
      </w:pPr>
      <w:r>
        <w:rPr>
          <w:b/>
          <w:i w:val="0"/>
          <w:color w:val="1D4ED8"/>
          <w:sz w:val="22"/>
        </w:rPr>
        <w:t xml:space="preserve">H.  </w:t>
      </w:r>
      <w:r>
        <w:rPr>
          <w:b w:val="0"/>
          <w:i w:val="0"/>
          <w:color w:val="1F2A3D"/>
          <w:sz w:val="22"/>
        </w:rPr>
        <w:t>Detailed financial model (3-year P&amp;L, cap table, runway)</w:t>
      </w:r>
    </w:p>
    <w:p>
      <w:pPr>
        <w:spacing w:before="240" w:after="80"/>
      </w:pPr>
    </w:p>
    <w:p>
      <w:pPr>
        <w:pBdr>
          <w:bottom w:val="single" w:sz="6" w:space="1" w:color="CBD5E1"/>
        </w:pBdr>
      </w:pPr>
    </w:p>
    <w:p>
      <w:pPr>
        <w:spacing w:before="120" w:after="80"/>
        <w:jc w:val="center"/>
      </w:pPr>
      <w:r>
        <w:rPr>
          <w:b w:val="0"/>
          <w:i/>
          <w:color w:val="475569"/>
          <w:sz w:val="20"/>
        </w:rPr>
        <w:t>Prepared by the Smart Dental Desk team.   ·   Follow-up:  pvprasanth474@gmail.com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A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