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EDAA" w14:textId="3F9FBEE2" w:rsidR="009306DE" w:rsidRPr="009306DE" w:rsidRDefault="00AE3B8D" w:rsidP="00930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Interpretations &amp; Conclusion</w:t>
      </w:r>
    </w:p>
    <w:p w14:paraId="4F37366B" w14:textId="20CE5ECF" w:rsidR="009306DE" w:rsidRPr="001E4D6A" w:rsidRDefault="009306DE" w:rsidP="00AE3B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14:paraId="142F8176" w14:textId="5B891AAB" w:rsidR="009306DE" w:rsidRDefault="00AE3B8D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06DE" w:rsidRPr="001E4D6A">
        <w:rPr>
          <w:rFonts w:ascii="Times New Roman" w:hAnsi="Times New Roman" w:cs="Times New Roman"/>
          <w:sz w:val="24"/>
          <w:szCs w:val="24"/>
        </w:rPr>
        <w:t>These findings suggest that income and vaccination rates have very weak and statistically insignificant associations with COVID-19 infection rates at the county level.</w:t>
      </w:r>
    </w:p>
    <w:p w14:paraId="0DA4CFAE" w14:textId="00E1C503" w:rsidR="00AE3B8D" w:rsidRDefault="00AE3B8D" w:rsidP="00AE3B8D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Pr="00AE3B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While t-tests showed some differences in means, these differences did not hold up when considered in the broader context of a linear regression model. Other unmeasured factors likely play a more substantial role in explaining the variation in COVID-19 infection rates across counties.</w:t>
      </w:r>
    </w:p>
    <w:p w14:paraId="3E953817" w14:textId="77777777" w:rsidR="00AE3B8D" w:rsidRPr="00AE3B8D" w:rsidRDefault="00AE3B8D" w:rsidP="00AE3B8D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86567E" w14:textId="77777777" w:rsidR="009306DE" w:rsidRPr="001E4D6A" w:rsidRDefault="009306DE" w:rsidP="00AE3B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25B11CAE" w14:textId="77777777" w:rsidR="009306DE" w:rsidRDefault="009306DE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It's important to note that this analysis is based on limited sample data and may not capture the full complexity of the relationships.</w:t>
      </w:r>
    </w:p>
    <w:p w14:paraId="2A01604D" w14:textId="6168B5D1" w:rsidR="00AE3B8D" w:rsidRPr="00AE3B8D" w:rsidRDefault="00AE3B8D" w:rsidP="00AE3B8D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AE3B8D">
        <w:rPr>
          <w:rStyle w:val="Strong"/>
          <w:rFonts w:ascii="Times New Roman" w:hAnsi="Times New Roman" w:cs="Times New Roman"/>
          <w:sz w:val="24"/>
          <w:szCs w:val="24"/>
        </w:rPr>
        <w:t>Temporal Limitations:</w:t>
      </w:r>
    </w:p>
    <w:p w14:paraId="11D839C6" w14:textId="77777777" w:rsidR="00AE3B8D" w:rsidRPr="00AE3B8D" w:rsidRDefault="00AE3B8D" w:rsidP="00AE3B8D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E3B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analysis is based on data available at a specific point in time, and it may not account for changes in COVID-19 infection rates, vaccination rates, or socioeconomic factors over time.</w:t>
      </w:r>
    </w:p>
    <w:p w14:paraId="2F2D2591" w14:textId="77777777" w:rsidR="00AE3B8D" w:rsidRPr="00AE3B8D" w:rsidRDefault="00AE3B8D" w:rsidP="00AE3B8D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E3B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dynamics of the pandemic have evolved, and new variants of the virus and vaccination campaigns have impacted the landscape of COVID-19 cases.</w:t>
      </w:r>
    </w:p>
    <w:p w14:paraId="420CEE71" w14:textId="77777777" w:rsidR="00AE3B8D" w:rsidRPr="00AE3B8D" w:rsidRDefault="00AE3B8D" w:rsidP="00AE3B8D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AE3B8D">
        <w:rPr>
          <w:rStyle w:val="Strong"/>
          <w:rFonts w:ascii="Times New Roman" w:hAnsi="Times New Roman" w:cs="Times New Roman"/>
          <w:sz w:val="24"/>
          <w:szCs w:val="24"/>
        </w:rPr>
        <w:t>Simplistic Model:</w:t>
      </w:r>
    </w:p>
    <w:p w14:paraId="05243CA5" w14:textId="77777777" w:rsidR="00AE3B8D" w:rsidRPr="00AE3B8D" w:rsidRDefault="00AE3B8D" w:rsidP="00AE3B8D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E3B8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linear regression model used in this analysis is relatively simple and may not capture the full complexity of the relationships between socioeconomic factors and COVID-19 infection rates. More advanced models may be needed to provide a more accurate representation of the data.</w:t>
      </w:r>
    </w:p>
    <w:p w14:paraId="67AA237A" w14:textId="77777777" w:rsidR="00001A9D" w:rsidRPr="00001A9D" w:rsidRDefault="00001A9D" w:rsidP="00001A9D">
      <w:pPr>
        <w:pStyle w:val="NoSpacing"/>
        <w:numPr>
          <w:ilvl w:val="0"/>
          <w:numId w:val="3"/>
        </w:num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01A9D">
        <w:rPr>
          <w:rStyle w:val="Strong"/>
          <w:rFonts w:ascii="Times New Roman" w:hAnsi="Times New Roman" w:cs="Times New Roman"/>
          <w:sz w:val="24"/>
          <w:szCs w:val="24"/>
        </w:rPr>
        <w:t>Geographic Variations:</w:t>
      </w:r>
    </w:p>
    <w:p w14:paraId="051FFB41" w14:textId="77777777" w:rsidR="00001A9D" w:rsidRPr="00001A9D" w:rsidRDefault="00001A9D" w:rsidP="00001A9D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01A9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analysis assumes a uniform relationship between socioeconomic factors and COVID-19 infection rates across all counties. In reality, geographic variations in healthcare systems, public health policies, and population characteristics can lead to different outcomes.</w:t>
      </w:r>
    </w:p>
    <w:p w14:paraId="3AB4FA11" w14:textId="77777777" w:rsidR="00AE3B8D" w:rsidRDefault="00AE3B8D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FBD71" w14:textId="77777777" w:rsidR="00AE3B8D" w:rsidRPr="001E4D6A" w:rsidRDefault="00AE3B8D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61143" w14:textId="77777777" w:rsidR="009306DE" w:rsidRPr="001E4D6A" w:rsidRDefault="009306DE" w:rsidP="00AE3B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7BF0E6D7" w14:textId="77777777" w:rsidR="009306DE" w:rsidRDefault="009306DE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Future research could explore additional variables (Population Density, Travel and Commuting Patterns,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D6A">
        <w:rPr>
          <w:rFonts w:ascii="Times New Roman" w:hAnsi="Times New Roman" w:cs="Times New Roman"/>
          <w:sz w:val="24"/>
          <w:szCs w:val="24"/>
        </w:rPr>
        <w:t>Viral Variants. Etc) and conduct more in-depth analyses to better understand the factors influencing COVID-19 infection rates.</w:t>
      </w:r>
    </w:p>
    <w:p w14:paraId="52907881" w14:textId="77777777" w:rsidR="00AE3B8D" w:rsidRPr="001E4D6A" w:rsidRDefault="00AE3B8D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4CC73" w14:textId="77777777" w:rsidR="009306DE" w:rsidRPr="001E4D6A" w:rsidRDefault="009306DE" w:rsidP="00AE3B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5B44BD7" w14:textId="2873F1F5" w:rsidR="009306DE" w:rsidRPr="001E4D6A" w:rsidRDefault="00001A9D" w:rsidP="00AE3B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06DE" w:rsidRPr="001E4D6A">
        <w:rPr>
          <w:rFonts w:ascii="Times New Roman" w:hAnsi="Times New Roman" w:cs="Times New Roman"/>
          <w:sz w:val="24"/>
          <w:szCs w:val="24"/>
        </w:rPr>
        <w:t>While our analysis did not find strong associations between income, vaccination rates, and infection rates as expected, it provides a foundation for further investigation into the socioeconomic impact on the spread of COVID-19.</w:t>
      </w:r>
    </w:p>
    <w:p w14:paraId="2D15C301" w14:textId="48420984" w:rsidR="00020DA8" w:rsidRPr="00001A9D" w:rsidRDefault="00001A9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Pr="00001A9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ongoing fight against the pandemic requires a holistic and evidence-based approach that considers a wide range of variables, with the ultimate goal of reducing infection rates, ensuring equitable access to healthcare, and protecting public health.</w:t>
      </w:r>
    </w:p>
    <w:sectPr w:rsidR="00020DA8" w:rsidRPr="0000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B34"/>
    <w:multiLevelType w:val="hybridMultilevel"/>
    <w:tmpl w:val="4FEC9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96"/>
    <w:multiLevelType w:val="multilevel"/>
    <w:tmpl w:val="53A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839C1"/>
    <w:multiLevelType w:val="multilevel"/>
    <w:tmpl w:val="CE2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7A6B4C"/>
    <w:multiLevelType w:val="multilevel"/>
    <w:tmpl w:val="FC2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5865068">
    <w:abstractNumId w:val="1"/>
  </w:num>
  <w:num w:numId="2" w16cid:durableId="181478717">
    <w:abstractNumId w:val="2"/>
  </w:num>
  <w:num w:numId="3" w16cid:durableId="94248007">
    <w:abstractNumId w:val="0"/>
  </w:num>
  <w:num w:numId="4" w16cid:durableId="40017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DE"/>
    <w:rsid w:val="00001A9D"/>
    <w:rsid w:val="00020DA8"/>
    <w:rsid w:val="001A5365"/>
    <w:rsid w:val="009306DE"/>
    <w:rsid w:val="00A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4FE7"/>
  <w15:chartTrackingRefBased/>
  <w15:docId w15:val="{1C76FE63-0856-46EC-8643-2116314B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B8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E3B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boggarapu</dc:creator>
  <cp:keywords/>
  <dc:description/>
  <cp:lastModifiedBy>venkat boggarapu</cp:lastModifiedBy>
  <cp:revision>2</cp:revision>
  <dcterms:created xsi:type="dcterms:W3CDTF">2023-11-01T16:05:00Z</dcterms:created>
  <dcterms:modified xsi:type="dcterms:W3CDTF">2023-11-01T16:26:00Z</dcterms:modified>
</cp:coreProperties>
</file>