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SARO Compliance Claims Language Tier Policy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Approved Communication Tiers — External Use Only</w:t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 this policy applies to: </w:t>
      </w:r>
      <w:r>
        <w:rPr>
          <w:rFonts w:ascii="Arial" w:cs="Arial" w:eastAsia="Arial" w:hAnsi="Arial"/>
          <w:sz w:val="20"/>
          <w:szCs w:val="20"/>
        </w:rPr>
        <w:t xml:space="preserve">All Sales, Product, and Engineering leads who communicate externally about SARO's capabilities.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it applies: </w:t>
      </w:r>
      <w:r>
        <w:rPr>
          <w:rFonts w:ascii="Arial" w:cs="Arial" w:eastAsia="Arial" w:hAnsi="Arial"/>
          <w:sz w:val="20"/>
          <w:szCs w:val="20"/>
        </w:rPr>
        <w:t xml:space="preserve">Any external communication — written or verbal — that references SARO's coverage of or alignment to a compliance, regulatory, or governance framework (EU AI Act, NIST AI RMF, AIGP, ISO 42001, or any other).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is mandatory. Violations are subject to the enforcement process defined in Section 6.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The Three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400"/>
        <w:gridCol w:w="2160"/>
        <w:gridCol w:w="1560"/>
      </w:tblGrid>
      <w:tr>
        <w:tc>
          <w:tcPr>
            <w:tcW w:type="dxa" w:w="144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Language Template</w:t>
            </w:r>
          </w:p>
        </w:tc>
        <w:tc>
          <w:tcPr>
            <w:tcW w:type="dxa" w:w="21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15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Prohibited Variations</w:t>
            </w:r>
          </w:p>
        </w:tc>
      </w:tr>
      <w:tr>
        <w:tc>
          <w:tcPr>
            <w:tcW w:type="dxa" w:w="1440"/>
            <w:shd w:fill="D9EAD3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 Issued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 Issued: "SARO has received a Qualified Compliance Opinion from [Firm] covering [framework scope]. The QCO is available to qualified reviewers under NDA."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"Based on our QCO, SARO v[X.X.X] supports evidence requirements for [framework] as assessed by [Firm]."</w:t>
            </w:r>
          </w:p>
        </w:tc>
        <w:tc>
          <w:tcPr>
            <w:tcW w:type="dxa" w:w="1560"/>
            <w:shd w:fill="FFCC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is [framework] certified/compliant/approved"</w:t>
            </w:r>
          </w:p>
        </w:tc>
      </w:tr>
      <w:tr>
        <w:tc>
          <w:tcPr>
            <w:tcW w:type="dxa" w:w="144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is currently undergoing independent expert review of its [framework] coverage. Results will be communicated upon completion."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"Our independent [framework] review is in progress. We expect to communicate outcomes in [timeframe]."</w:t>
            </w:r>
          </w:p>
        </w:tc>
        <w:tc>
          <w:tcPr>
            <w:tcW w:type="dxa" w:w="1560"/>
            <w:shd w:fill="FFCC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expect to achieve [framework] compliance"; "SARO meets [framework] requirements"</w:t>
            </w:r>
          </w:p>
        </w:tc>
      </w:tr>
      <w:tr>
        <w:tc>
          <w:tcPr>
            <w:tcW w:type="dxa" w:w="1440"/>
            <w:shd w:fill="FCE5CD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Assessed / Current State</w:t>
            </w:r>
          </w:p>
        </w:tc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reference to framework coverage permitted until Tier 1 or Tier 2 status is achieved.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asked: "SARO provides audit evidence supporting [framework] documentation workflows. We have not yet completed independent expert review of this coverage."</w:t>
            </w:r>
          </w:p>
        </w:tc>
        <w:tc>
          <w:tcPr>
            <w:tcW w:type="dxa" w:w="1560"/>
            <w:shd w:fill="FFCC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positive claim of framework coverage, compliance, or certification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Current Framework Status 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Status as of June 2026: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160"/>
      </w:tblGrid>
      <w:tr>
        <w:tc>
          <w:tcPr>
            <w:tcW w:type="dxa" w:w="24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Tier Status</w:t>
            </w:r>
          </w:p>
        </w:tc>
        <w:tc>
          <w:tcPr>
            <w:tcW w:type="dxa" w:w="416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AI Act</w:t>
            </w:r>
          </w:p>
        </w:tc>
        <w:tc>
          <w:tcPr>
            <w:tcW w:type="dxa" w:w="1800"/>
            <w:shd w:fill="FCE5CD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Internal Review Only</w:t>
            </w:r>
          </w:p>
        </w:tc>
        <w:tc>
          <w:tcPr>
            <w:tcW w:type="dxa" w:w="4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claims permitted as of June 2026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 1.0</w:t>
            </w:r>
          </w:p>
        </w:tc>
        <w:tc>
          <w:tcPr>
            <w:tcW w:type="dxa" w:w="1800"/>
            <w:shd w:fill="FCE5CD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Internal Review Only</w:t>
            </w:r>
          </w:p>
        </w:tc>
        <w:tc>
          <w:tcPr>
            <w:tcW w:type="dxa" w:w="4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claims permitted as of June 2026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AIGP</w:t>
            </w:r>
          </w:p>
        </w:tc>
        <w:tc>
          <w:tcPr>
            <w:tcW w:type="dxa" w:w="1800"/>
            <w:shd w:fill="FCE5CD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Internal Review Only</w:t>
            </w:r>
          </w:p>
        </w:tc>
        <w:tc>
          <w:tcPr>
            <w:tcW w:type="dxa" w:w="4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claims permitted as of June 2026</w:t>
            </w:r>
          </w:p>
        </w:tc>
      </w:tr>
      <w:tr>
        <w:tc>
          <w:tcPr>
            <w:tcW w:type="dxa" w:w="240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42001</w:t>
            </w:r>
          </w:p>
        </w:tc>
        <w:tc>
          <w:tcPr>
            <w:tcW w:type="dxa" w:w="1800"/>
            <w:shd w:fill="FCE5CD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Internal Review Only</w:t>
            </w:r>
          </w:p>
        </w:tc>
        <w:tc>
          <w:tcPr>
            <w:tcW w:type="dxa" w:w="416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claims permitted as of June 2026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Prohibited Phrases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phrases are strictly forbidden in any external communication. Use the approved alternatives provided.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shd w:fill="FFCCCC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 Phrase</w:t>
            </w:r>
          </w:p>
        </w:tc>
        <w:tc>
          <w:tcPr>
            <w:tcW w:type="dxa" w:w="5040"/>
            <w:shd w:fill="D9EAD3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Instead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compliant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provides evidence supporting NIST AI RMF function areas"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certified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generates indicators consistent with EU AI Act high-risk criteria"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42001 certified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links audit records to ISO 42001 document lifecycle stages"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AIGP certified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supports human-in-the-loop workflows for AIGP-certified reviewers"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passed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"TRACE evidence generated for auditor review"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score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"Risk score: [X]/100"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approval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produces audit evidence — regulatory submission requires human sign-off"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Certified tool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is an AI risk scoring tool with evidence-generation capabilities"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Conformity assessed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"Independent expert review is in progress / has been completed (per Tier status)"</w:t>
            </w:r>
          </w:p>
        </w:tc>
      </w:tr>
      <w:tr>
        <w:tc>
          <w:tcPr>
            <w:tcW w:type="dxa" w:w="4320"/>
            <w:shd w:fill="FFF2CC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Legally compliant</w:t>
            </w:r>
          </w:p>
        </w:tc>
        <w:tc>
          <w:tcPr>
            <w:tcW w:type="dxa" w:w="50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"SARO supports documentation workflows — legal determinations require qualified counsel"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Escalation Protocol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challenged on a compliance claim: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Do not make additional claims or attempt to justify the challenged statement.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Immediately escalate: Sales Team Lead → Legal Counsel → Product Owner within 2 hours of the challenge.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Deliver the following holding statement to the challenger:</w:t>
      </w:r>
    </w:p>
    <w:p>
      <w:pPr>
        <w:pBdr>
          <w:top w:val="single" w:color="2F5496" w:sz="6"/>
          <w:bottom w:val="single" w:color="2F5496" w:sz="6"/>
          <w:left w:val="single" w:color="2F5496" w:sz="6"/>
          <w:right w:val="single" w:color="2F5496" w:sz="6"/>
        </w:pBdr>
        <w:shd w:fill="EBF3FB" w:color="auto" w:val="clear"/>
        <w:spacing w:after="24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"SARO is currently undergoing independent expert review of its framework coverage. We will provide a full written response within 24 hours."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Legal Counsel drafts written response; Product Owner approves before sending.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Enforcement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quarterly artefact audit of external communications (sales decks, website copy, emails, proposals) will be conducted by Legal Counsel and Product Owner.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identified violation will be reported to the Product Owner and Legal Counsel within 24 hours of discovery.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Violations are subject to disciplinary action in accordance with [Company Disciplinary Policy Reference — to be inserted].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or wilful violations may be escalated to the relevant professional body if the individual holds a regulated credential.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F5496" w:sz="6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Acknowledgement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I have read and understood the SARO Compliance Claims Language Tier Policy and agree to comply with all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shd w:fill="D9D9D9" w:color="auto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3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FFFFFF" w:color="auto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SARO EVF-LANG-v1.0  |  CONFIDENTIAL — INTERNAL  |  Page </w:t>
    </w:r>
    <w:pgNum/>
    <w:r>
      <w:rPr>
        <w:rFonts w:ascii="Arial" w:cs="Arial" w:eastAsia="Arial" w:hAnsi="Arial"/>
        <w:sz w:val="18"/>
        <w:szCs w:val="18"/>
      </w:rPr>
      <w:t xml:space="preserve"> of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INTERNAL POLICY  |  Owner: Product Owner  |  Effective: [Date]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2026-06-02T04:17:14.333Z</dcterms:created>
  <dcterms:modified xsi:type="dcterms:W3CDTF">2026-06-02T04:17:14.334Z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