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CC0000" w:sz="12"/>
          <w:bottom w:val="single" w:color="CC0000" w:sz="12"/>
          <w:left w:val="single" w:color="CC0000" w:sz="12"/>
          <w:right w:val="single" w:color="CC0000" w:sz="12"/>
        </w:pBdr>
        <w:shd w:fill="FFCCCC" w:color="auto" w:val="clear"/>
        <w:spacing w:after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PROHIBITED LANGUAGE: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This document must NOT use the words "certified", "certification", "conformity assessment", or "compliant" to describe SARO's status.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SARO External SME Validation Framework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Qualified Compliance Opinion [TEMPLATE]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QCO Reference: SARO-QCO-[FRAMEWORK]-[YYYY]-[SEQ]</w:t>
      </w:r>
    </w:p>
    <w:p>
      <w:pPr>
        <w:pStyle w:val="Heading2"/>
        <w:pBdr>
          <w:bottom w:val="single" w:color="2F5496" w:sz="6"/>
        </w:pBd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SME Identification and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 Name</w:t>
            </w:r>
          </w:p>
        </w:tc>
        <w:tc>
          <w:tcPr>
            <w:tcW w:type="dxa" w:w="57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Individual Reviewer Name</w:t>
            </w:r>
          </w:p>
        </w:tc>
        <w:tc>
          <w:tcPr>
            <w:tcW w:type="dxa" w:w="57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Professional Credential</w:t>
            </w:r>
          </w:p>
        </w:tc>
        <w:tc>
          <w:tcPr>
            <w:tcW w:type="dxa" w:w="57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Credential Body</w:t>
            </w:r>
          </w:p>
        </w:tc>
        <w:tc>
          <w:tcPr>
            <w:tcW w:type="dxa" w:w="57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Credential Reference Number</w:t>
            </w:r>
          </w:p>
        </w:tc>
        <w:tc>
          <w:tcPr>
            <w:tcW w:type="dxa" w:w="57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Professional Indemnity Insurance Policy Ref</w:t>
            </w:r>
          </w:p>
        </w:tc>
        <w:tc>
          <w:tcPr>
            <w:tcW w:type="dxa" w:w="57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F5496" w:sz="6"/>
        </w:pBd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Engagement Scope and Limitations Disclaimer</w:t>
      </w:r>
    </w:p>
    <w:p>
      <w:pPr>
        <w:pBdr>
          <w:top w:val="single" w:color="CC0000" w:sz="8"/>
          <w:bottom w:val="single" w:color="CC0000" w:sz="8"/>
          <w:left w:val="single" w:color="CC0000" w:sz="8"/>
          <w:right w:val="single" w:color="CC0000" w:sz="8"/>
        </w:pBdr>
        <w:shd w:fill="FFF2CC" w:color="auto" w:val="clear"/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document is a qualified professional opinion based on document review and product demonstration. It does not constitute regulatory certification, legal advice, conformity assessment, or compliance approval. Human review and sign-off by qualified personnel is required before any regulatory submission.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F5496" w:sz="6"/>
        </w:pBd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Framework Scope Boundary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720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 Boundary</w:t>
            </w:r>
          </w:p>
        </w:tc>
      </w:tr>
      <w:tr>
        <w:tc>
          <w:tcPr>
            <w:tcW w:type="dxa" w:w="21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AI Act</w:t>
            </w:r>
          </w:p>
        </w:tc>
        <w:tc>
          <w:tcPr>
            <w:tcW w:type="dxa" w:w="72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Arts 9, 13, 17 evidence support only. SARO identifies characteristics consistent with high-risk criteria and transparency requirements. SARO does NOT classify systems under Annexes I-III or make legal determinations.</w:t>
            </w:r>
          </w:p>
        </w:tc>
      </w:tr>
      <w:tr>
        <w:tc>
          <w:tcPr>
            <w:tcW w:type="dxa" w:w="21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 AI RMF 1.0</w:t>
            </w:r>
          </w:p>
        </w:tc>
        <w:tc>
          <w:tcPr>
            <w:tcW w:type="dxa" w:w="72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Govern, Map, Measure, Manage function area evidence mapping. SARO does NOT assert RMF conformance or assess organisational governance maturity.</w:t>
            </w:r>
          </w:p>
        </w:tc>
      </w:tr>
      <w:tr>
        <w:tc>
          <w:tcPr>
            <w:tcW w:type="dxa" w:w="21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AIGP</w:t>
            </w:r>
          </w:p>
        </w:tc>
        <w:tc>
          <w:tcPr>
            <w:tcW w:type="dxa" w:w="72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Principles evaluation supporting human-in-the-loop workflows. SARO does NOT issue AIGP certifications or replace AIGP-certified human judgment.</w:t>
            </w:r>
          </w:p>
        </w:tc>
      </w:tr>
      <w:tr>
        <w:tc>
          <w:tcPr>
            <w:tcW w:type="dxa" w:w="21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42001</w:t>
            </w:r>
          </w:p>
        </w:tc>
        <w:tc>
          <w:tcPr>
            <w:tcW w:type="dxa" w:w="72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lifecycle linking for Clause 9 (Performance Evaluation). SARO does NOT certify management systems or conduct Stage 1/Stage 2 audits.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F5496" w:sz="6"/>
        </w:pBd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Review Methodology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c>
          <w:tcPr>
            <w:tcW w:type="dxa" w:w="240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216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Date(s)</w:t>
            </w:r>
          </w:p>
        </w:tc>
        <w:tc>
          <w:tcPr>
            <w:tcW w:type="dxa" w:w="480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Documents / Activities</w:t>
            </w:r>
          </w:p>
        </w:tc>
      </w:tr>
      <w:tr>
        <w:tc>
          <w:tcPr>
            <w:tcW w:type="dxa" w:w="24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Document Review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Product Demonstration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Q&amp;A and Gap Clarification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Draft QCO Review Cycle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F5496" w:sz="6"/>
        </w:pBd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Findings per Framework Control / Article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2160"/>
        <w:gridCol w:w="1200"/>
      </w:tblGrid>
      <w:tr>
        <w:tc>
          <w:tcPr>
            <w:tcW w:type="dxa" w:w="180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 / Article</w:t>
            </w:r>
          </w:p>
        </w:tc>
        <w:tc>
          <w:tcPr>
            <w:tcW w:type="dxa" w:w="240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SARO Feature / Capability</w:t>
            </w:r>
          </w:p>
        </w:tc>
        <w:tc>
          <w:tcPr>
            <w:tcW w:type="dxa" w:w="180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Finding</w:t>
            </w:r>
          </w:p>
        </w:tc>
        <w:tc>
          <w:tcPr>
            <w:tcW w:type="dxa" w:w="216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 Reference</w:t>
            </w:r>
          </w:p>
        </w:tc>
        <w:tc>
          <w:tcPr>
            <w:tcW w:type="dxa" w:w="120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 Flag (Y/N)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F5496" w:sz="6"/>
        </w:pBd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Gap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2160"/>
        <w:gridCol w:w="1800"/>
        <w:gridCol w:w="1560"/>
      </w:tblGrid>
      <w:tr>
        <w:tc>
          <w:tcPr>
            <w:tcW w:type="dxa" w:w="144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 ID</w:t>
            </w:r>
          </w:p>
        </w:tc>
        <w:tc>
          <w:tcPr>
            <w:tcW w:type="dxa" w:w="240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Affected Framework Control</w:t>
            </w:r>
          </w:p>
        </w:tc>
        <w:tc>
          <w:tcPr>
            <w:tcW w:type="dxa" w:w="180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SARO Position</w:t>
            </w:r>
          </w:p>
        </w:tc>
        <w:tc>
          <w:tcPr>
            <w:tcW w:type="dxa" w:w="156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F5496" w:sz="6"/>
        </w:pBd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Opinion Statement</w:t>
      </w:r>
    </w:p>
    <w:p>
      <w:pPr>
        <w:shd w:fill="EBF3FB" w:color="auto" w:val="clear"/>
        <w:spacing w:after="240" w:before="120"/>
      </w:pPr>
      <w:r>
        <w:rPr>
          <w:rFonts w:ascii="Arial" w:cs="Arial" w:eastAsia="Arial" w:hAnsi="Arial"/>
          <w:sz w:val="20"/>
          <w:szCs w:val="20"/>
        </w:rPr>
        <w:t xml:space="preserve">Based on our review of SARO v[X.X.X] conducted between [start date] and [end date], it is our qualified opinion that SARO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[supports / partially supports / does not support]</w:t>
      </w:r>
      <w:r>
        <w:rPr>
          <w:rFonts w:ascii="Arial" w:cs="Arial" w:eastAsia="Arial" w:hAnsi="Arial"/>
          <w:sz w:val="20"/>
          <w:szCs w:val="20"/>
        </w:rPr>
        <w:t xml:space="preserve"> the evidence requirements for [framework scope]. This opinion is valid for [SARO version assessed] only and expires on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[expiry date]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F5496" w:sz="6"/>
        </w:pBd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Validity Period and Re-validation Trigger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Expiry Date: </w:t>
      </w:r>
      <w:r>
        <w:rPr>
          <w:rFonts w:ascii="Arial" w:cs="Arial" w:eastAsia="Arial" w:hAnsi="Arial"/>
          <w:sz w:val="20"/>
          <w:szCs w:val="20"/>
        </w:rPr>
        <w:t xml:space="preserve">[Date — maximum 12 months from opinion date]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QCO is invalidated early upon any of the following events: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Material change to SARO scoring engine (DIR formula, SHAP weighting, or KS-test thresholds)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Release of a new SARO major or minor version (e.g., v8.x to v9.0 or v8.0 to v8.1)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Change to framework scope covered by this QCO (e.g., addition or removal of covered articles)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Regulatory update to any covered framework that materially changes the evidence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Material change to SARO TRACE timeline architecture or hash-chain integrity mechanism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F5496" w:sz="6"/>
        </w:pBd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SME Signature and Credential Reference</w:t>
      </w:r>
    </w:p>
    <w:p>
      <w:pPr>
        <w:spacing w:after="2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This opinion was prepared by [Name], [Credential], [Body]. Registration/licence reference: [ref].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Reviewer Name</w:t>
            </w:r>
          </w:p>
        </w:tc>
        <w:tc>
          <w:tcPr>
            <w:tcW w:type="dxa" w:w="624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Professional Credential</w:t>
            </w:r>
          </w:p>
        </w:tc>
        <w:tc>
          <w:tcPr>
            <w:tcW w:type="dxa" w:w="624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Credential Body</w:t>
            </w:r>
          </w:p>
        </w:tc>
        <w:tc>
          <w:tcPr>
            <w:tcW w:type="dxa" w:w="624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Registration / Licence Reference</w:t>
            </w:r>
          </w:p>
        </w:tc>
        <w:tc>
          <w:tcPr>
            <w:tcW w:type="dxa" w:w="624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624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SARO EVF-QCO-v1.0  |  QCO Ref: [number]  |  Page </w:t>
    </w:r>
    <w:pgNum/>
    <w:r>
      <w:rPr>
        <w:rFonts w:ascii="Arial" w:cs="Arial" w:eastAsia="Arial" w:hAnsi="Arial"/>
        <w:sz w:val="18"/>
        <w:szCs w:val="18"/>
      </w:rPr>
      <w:t xml:space="preserve"> of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CONFIDENTIAL — RESTRICTED | SARO EVF Programme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2026-06-02T04:17:07.210Z</dcterms:created>
  <dcterms:modified xsi:type="dcterms:W3CDTF">2026-06-02T04:17:07.211Z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