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SARO External SME Validation Framework</w:t>
      </w:r>
    </w:p>
    <w:p>
      <w:pPr>
        <w:spacing w:after="360"/>
        <w:jc w:val="center"/>
      </w:pPr>
      <w:r>
        <w:rPr>
          <w:rFonts w:ascii="Arial" w:cs="Arial" w:eastAsia="Arial" w:hAnsi="Arial"/>
          <w:b/>
          <w:bCs/>
          <w:sz w:val="28"/>
          <w:szCs w:val="28"/>
        </w:rPr>
        <w:t xml:space="preserve">Statement of Work Template</w:t>
      </w:r>
    </w:p>
    <w:p>
      <w:pPr>
        <w:pStyle w:val="Heading2"/>
        <w:pBdr>
          <w:bottom w:val="single" w:color="2F5496" w:sz="6"/>
        </w:pBdr>
        <w:spacing w:after="120" w:before="240"/>
      </w:pPr>
      <w:r>
        <w:rPr>
          <w:rFonts w:ascii="Arial" w:cs="Arial" w:eastAsia="Arial" w:hAnsi="Arial"/>
          <w:b/>
          <w:bCs/>
          <w:sz w:val="24"/>
          <w:szCs w:val="24"/>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9D9D9" w:color="auto" w:val="clear"/>
          </w:tcPr>
          <w:p>
            <w:r>
              <w:rPr>
                <w:rFonts w:ascii="Arial" w:cs="Arial" w:eastAsia="Arial" w:hAnsi="Arial"/>
                <w:b/>
                <w:bCs/>
                <w:sz w:val="20"/>
                <w:szCs w:val="20"/>
              </w:rPr>
              <w:t xml:space="preserve">Party</w:t>
            </w:r>
          </w:p>
        </w:tc>
        <w:tc>
          <w:tcPr>
            <w:tcW w:type="dxa" w:w="6360"/>
            <w:shd w:fill="D9D9D9" w:color="auto" w:val="clear"/>
          </w:tcPr>
          <w:p>
            <w:r>
              <w:rPr>
                <w:rFonts w:ascii="Arial" w:cs="Arial" w:eastAsia="Arial" w:hAnsi="Arial"/>
                <w:b/>
                <w:bCs/>
                <w:sz w:val="20"/>
                <w:szCs w:val="20"/>
              </w:rPr>
              <w:t xml:space="preserve">Details</w:t>
            </w:r>
          </w:p>
        </w:tc>
      </w:tr>
      <w:tr>
        <w:tc>
          <w:tcPr>
            <w:tcW w:type="dxa" w:w="3000"/>
            <w:shd w:fill="D9D9D9" w:color="auto" w:val="clear"/>
          </w:tcPr>
          <w:p>
            <w:r>
              <w:rPr>
                <w:rFonts w:ascii="Arial" w:cs="Arial" w:eastAsia="Arial" w:hAnsi="Arial"/>
                <w:b/>
                <w:bCs/>
                <w:sz w:val="20"/>
                <w:szCs w:val="20"/>
              </w:rPr>
              <w:t xml:space="preserve">SARO Entity</w:t>
            </w:r>
          </w:p>
        </w:tc>
        <w:tc>
          <w:tcPr>
            <w:tcW w:type="dxa" w:w="6360"/>
            <w:shd w:fill="FFFFFF" w:color="auto" w:val="clear"/>
          </w:tcPr>
          <w:p>
            <w:r>
              <w:rPr>
                <w:rFonts w:ascii="Arial" w:cs="Arial" w:eastAsia="Arial" w:hAnsi="Arial"/>
                <w:sz w:val="20"/>
                <w:szCs w:val="20"/>
              </w:rPr>
              <w:t xml:space="preserve">SARO (Smart AI Risk Orchestrator) — [Legal Entity Name]</w:t>
            </w:r>
          </w:p>
        </w:tc>
      </w:tr>
      <w:tr>
        <w:tc>
          <w:tcPr>
            <w:tcW w:type="dxa" w:w="3000"/>
            <w:shd w:fill="D9D9D9" w:color="auto" w:val="clear"/>
          </w:tcPr>
          <w:p>
            <w:r>
              <w:rPr>
                <w:rFonts w:ascii="Arial" w:cs="Arial" w:eastAsia="Arial" w:hAnsi="Arial"/>
                <w:b/>
                <w:bCs/>
                <w:sz w:val="20"/>
                <w:szCs w:val="20"/>
              </w:rPr>
              <w:t xml:space="preserve">SME Firm</w:t>
            </w:r>
          </w:p>
        </w:tc>
        <w:tc>
          <w:tcPr>
            <w:tcW w:type="dxa" w:w="6360"/>
            <w:shd w:fill="FFFFFF" w:color="auto" w:val="clear"/>
          </w:tcPr>
          <w:p>
            <w:r>
              <w:rPr>
                <w:rFonts w:ascii="Arial" w:cs="Arial" w:eastAsia="Arial" w:hAnsi="Arial"/>
                <w:sz w:val="20"/>
                <w:szCs w:val="20"/>
              </w:rPr>
              <w:t xml:space="preserve">[Firm Name]</w:t>
            </w:r>
          </w:p>
        </w:tc>
      </w:tr>
      <w:tr>
        <w:tc>
          <w:tcPr>
            <w:tcW w:type="dxa" w:w="3000"/>
            <w:shd w:fill="D9D9D9" w:color="auto" w:val="clear"/>
          </w:tcPr>
          <w:p>
            <w:r>
              <w:rPr>
                <w:rFonts w:ascii="Arial" w:cs="Arial" w:eastAsia="Arial" w:hAnsi="Arial"/>
                <w:b/>
                <w:bCs/>
                <w:sz w:val="20"/>
                <w:szCs w:val="20"/>
              </w:rPr>
              <w:t xml:space="preserve">Effective Date</w:t>
            </w:r>
          </w:p>
        </w:tc>
        <w:tc>
          <w:tcPr>
            <w:tcW w:type="dxa" w:w="6360"/>
            <w:shd w:fill="FFFFFF" w:color="auto" w:val="clear"/>
          </w:tcPr>
          <w:p>
            <w:r>
              <w:rPr>
                <w:rFonts w:ascii="Arial" w:cs="Arial" w:eastAsia="Arial" w:hAnsi="Arial"/>
                <w:sz w:val="20"/>
                <w:szCs w:val="20"/>
              </w:rPr>
              <w:t xml:space="preserve">[DD Month YYYY]</w:t>
            </w:r>
          </w:p>
        </w:tc>
      </w:tr>
    </w:tbl>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2. Framework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shd w:fill="D9D9D9" w:color="auto" w:val="clear"/>
          </w:tcPr>
          <w:p>
            <w:r>
              <w:rPr>
                <w:rFonts w:ascii="Arial" w:cs="Arial" w:eastAsia="Arial" w:hAnsi="Arial"/>
                <w:b/>
                <w:bCs/>
                <w:sz w:val="20"/>
                <w:szCs w:val="20"/>
              </w:rPr>
              <w:t xml:space="preserve">Framework</w:t>
            </w:r>
          </w:p>
        </w:tc>
        <w:tc>
          <w:tcPr>
            <w:tcW w:type="dxa" w:w="3600"/>
            <w:shd w:fill="D9D9D9" w:color="auto" w:val="clear"/>
          </w:tcPr>
          <w:p>
            <w:r>
              <w:rPr>
                <w:rFonts w:ascii="Arial" w:cs="Arial" w:eastAsia="Arial" w:hAnsi="Arial"/>
                <w:b/>
                <w:bCs/>
                <w:sz w:val="20"/>
                <w:szCs w:val="20"/>
              </w:rPr>
              <w:t xml:space="preserve">Locked Claim Scope</w:t>
            </w:r>
          </w:p>
        </w:tc>
        <w:tc>
          <w:tcPr>
            <w:tcW w:type="dxa" w:w="3360"/>
            <w:shd w:fill="D9D9D9" w:color="auto" w:val="clear"/>
          </w:tcPr>
          <w:p>
            <w:r>
              <w:rPr>
                <w:rFonts w:ascii="Arial" w:cs="Arial" w:eastAsia="Arial" w:hAnsi="Arial"/>
                <w:b/>
                <w:bCs/>
                <w:sz w:val="20"/>
                <w:szCs w:val="20"/>
              </w:rPr>
              <w:t xml:space="preserve">Deliverable</w:t>
            </w:r>
          </w:p>
        </w:tc>
      </w:tr>
      <w:tr>
        <w:tc>
          <w:tcPr>
            <w:tcW w:type="dxa" w:w="2400"/>
            <w:shd w:fill="FFFFFF" w:color="auto" w:val="clear"/>
          </w:tcPr>
          <w:p>
            <w:r>
              <w:rPr>
                <w:rFonts w:ascii="Arial" w:cs="Arial" w:eastAsia="Arial" w:hAnsi="Arial"/>
                <w:sz w:val="20"/>
                <w:szCs w:val="20"/>
              </w:rPr>
              <w:t xml:space="preserve">EU AI Act</w:t>
            </w:r>
          </w:p>
        </w:tc>
        <w:tc>
          <w:tcPr>
            <w:tcW w:type="dxa" w:w="3600"/>
            <w:shd w:fill="FFFFFF" w:color="auto" w:val="clear"/>
          </w:tcPr>
          <w:p>
            <w:r>
              <w:rPr>
                <w:rFonts w:ascii="Arial" w:cs="Arial" w:eastAsia="Arial" w:hAnsi="Arial"/>
                <w:sz w:val="20"/>
                <w:szCs w:val="20"/>
              </w:rPr>
              <w:t xml:space="preserve">Arts 9, 13, 17: Risk management, transparency, and accuracy documentation evidence support only. No legal classification.</w:t>
            </w:r>
          </w:p>
        </w:tc>
        <w:tc>
          <w:tcPr>
            <w:tcW w:type="dxa" w:w="3360"/>
            <w:shd w:fill="FFFFFF" w:color="auto" w:val="clear"/>
          </w:tcPr>
          <w:p>
            <w:r>
              <w:rPr>
                <w:rFonts w:ascii="Arial" w:cs="Arial" w:eastAsia="Arial" w:hAnsi="Arial"/>
                <w:sz w:val="20"/>
                <w:szCs w:val="20"/>
              </w:rPr>
              <w:t xml:space="preserve">Qualified Compliance Opinion (QCO) — EU AI Act section</w:t>
            </w:r>
          </w:p>
        </w:tc>
      </w:tr>
      <w:tr>
        <w:tc>
          <w:tcPr>
            <w:tcW w:type="dxa" w:w="2400"/>
            <w:shd w:fill="FFFFFF" w:color="auto" w:val="clear"/>
          </w:tcPr>
          <w:p>
            <w:r>
              <w:rPr>
                <w:rFonts w:ascii="Arial" w:cs="Arial" w:eastAsia="Arial" w:hAnsi="Arial"/>
                <w:sz w:val="20"/>
                <w:szCs w:val="20"/>
              </w:rPr>
              <w:t xml:space="preserve">NIST AI RMF 1.0</w:t>
            </w:r>
          </w:p>
        </w:tc>
        <w:tc>
          <w:tcPr>
            <w:tcW w:type="dxa" w:w="3600"/>
            <w:shd w:fill="FFFFFF" w:color="auto" w:val="clear"/>
          </w:tcPr>
          <w:p>
            <w:r>
              <w:rPr>
                <w:rFonts w:ascii="Arial" w:cs="Arial" w:eastAsia="Arial" w:hAnsi="Arial"/>
                <w:sz w:val="20"/>
                <w:szCs w:val="20"/>
              </w:rPr>
              <w:t xml:space="preserve">Govern, Map, Measure, Manage function areas evidence mapping. No RMF conformance statement.</w:t>
            </w:r>
          </w:p>
        </w:tc>
        <w:tc>
          <w:tcPr>
            <w:tcW w:type="dxa" w:w="3360"/>
            <w:shd w:fill="FFFFFF" w:color="auto" w:val="clear"/>
          </w:tcPr>
          <w:p>
            <w:r>
              <w:rPr>
                <w:rFonts w:ascii="Arial" w:cs="Arial" w:eastAsia="Arial" w:hAnsi="Arial"/>
                <w:sz w:val="20"/>
                <w:szCs w:val="20"/>
              </w:rPr>
              <w:t xml:space="preserve">QCO — NIST AI RMF section</w:t>
            </w:r>
          </w:p>
        </w:tc>
      </w:tr>
      <w:tr>
        <w:tc>
          <w:tcPr>
            <w:tcW w:type="dxa" w:w="2400"/>
            <w:shd w:fill="FFFFFF" w:color="auto" w:val="clear"/>
          </w:tcPr>
          <w:p>
            <w:r>
              <w:rPr>
                <w:rFonts w:ascii="Arial" w:cs="Arial" w:eastAsia="Arial" w:hAnsi="Arial"/>
                <w:sz w:val="20"/>
                <w:szCs w:val="20"/>
              </w:rPr>
              <w:t xml:space="preserve">AIGP</w:t>
            </w:r>
          </w:p>
        </w:tc>
        <w:tc>
          <w:tcPr>
            <w:tcW w:type="dxa" w:w="3600"/>
            <w:shd w:fill="FFFFFF" w:color="auto" w:val="clear"/>
          </w:tcPr>
          <w:p>
            <w:r>
              <w:rPr>
                <w:rFonts w:ascii="Arial" w:cs="Arial" w:eastAsia="Arial" w:hAnsi="Arial"/>
                <w:sz w:val="20"/>
                <w:szCs w:val="20"/>
              </w:rPr>
              <w:t xml:space="preserve">Principles evaluation supporting human-in-the-loop workflows. No AIGP certification.</w:t>
            </w:r>
          </w:p>
        </w:tc>
        <w:tc>
          <w:tcPr>
            <w:tcW w:type="dxa" w:w="3360"/>
            <w:shd w:fill="FFFFFF" w:color="auto" w:val="clear"/>
          </w:tcPr>
          <w:p>
            <w:r>
              <w:rPr>
                <w:rFonts w:ascii="Arial" w:cs="Arial" w:eastAsia="Arial" w:hAnsi="Arial"/>
                <w:sz w:val="20"/>
                <w:szCs w:val="20"/>
              </w:rPr>
              <w:t xml:space="preserve">QCO — AIGP section</w:t>
            </w:r>
          </w:p>
        </w:tc>
      </w:tr>
      <w:tr>
        <w:tc>
          <w:tcPr>
            <w:tcW w:type="dxa" w:w="2400"/>
            <w:shd w:fill="FFFFFF" w:color="auto" w:val="clear"/>
          </w:tcPr>
          <w:p>
            <w:r>
              <w:rPr>
                <w:rFonts w:ascii="Arial" w:cs="Arial" w:eastAsia="Arial" w:hAnsi="Arial"/>
                <w:sz w:val="20"/>
                <w:szCs w:val="20"/>
              </w:rPr>
              <w:t xml:space="preserve">ISO 42001</w:t>
            </w:r>
          </w:p>
        </w:tc>
        <w:tc>
          <w:tcPr>
            <w:tcW w:type="dxa" w:w="3600"/>
            <w:shd w:fill="FFFFFF" w:color="auto" w:val="clear"/>
          </w:tcPr>
          <w:p>
            <w:r>
              <w:rPr>
                <w:rFonts w:ascii="Arial" w:cs="Arial" w:eastAsia="Arial" w:hAnsi="Arial"/>
                <w:sz w:val="20"/>
                <w:szCs w:val="20"/>
              </w:rPr>
              <w:t xml:space="preserve">Document lifecycle linking for Clause 9 performance evaluation. No management system certification.</w:t>
            </w:r>
          </w:p>
        </w:tc>
        <w:tc>
          <w:tcPr>
            <w:tcW w:type="dxa" w:w="3360"/>
            <w:shd w:fill="FFFFFF" w:color="auto" w:val="clear"/>
          </w:tcPr>
          <w:p>
            <w:r>
              <w:rPr>
                <w:rFonts w:ascii="Arial" w:cs="Arial" w:eastAsia="Arial" w:hAnsi="Arial"/>
                <w:sz w:val="20"/>
                <w:szCs w:val="20"/>
              </w:rPr>
              <w:t xml:space="preserve">QCO — ISO 42001 section</w:t>
            </w:r>
          </w:p>
        </w:tc>
      </w:tr>
    </w:tbl>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3. Deliverable Format</w:t>
      </w:r>
    </w:p>
    <w:p>
      <w:pPr>
        <w:spacing w:after="120"/>
      </w:pPr>
      <w:r>
        <w:rPr>
          <w:rFonts w:ascii="Arial" w:cs="Arial" w:eastAsia="Arial" w:hAnsi="Arial"/>
          <w:sz w:val="20"/>
          <w:szCs w:val="20"/>
        </w:rPr>
        <w:t xml:space="preserve">The primary deliverable is a Qualified Compliance Opinion (QCO) document structured in accordance with FR-EVF-09, comprising nine mandatory sections:</w:t>
      </w:r>
    </w:p>
    <w:p>
      <w:pPr>
        <w:pStyle w:val="ListParagraph"/>
        <w:numPr>
          <w:ilvl w:val="0"/>
          <w:numId w:val="1"/>
        </w:numPr>
        <w:spacing w:after="60"/>
      </w:pPr>
      <w:r>
        <w:rPr>
          <w:rFonts w:ascii="Arial" w:cs="Arial" w:eastAsia="Arial" w:hAnsi="Arial"/>
          <w:sz w:val="20"/>
          <w:szCs w:val="20"/>
        </w:rPr>
        <w:t xml:space="preserve">Section 1: SME Identification and Credentials</w:t>
      </w:r>
    </w:p>
    <w:p>
      <w:pPr>
        <w:pStyle w:val="ListParagraph"/>
        <w:numPr>
          <w:ilvl w:val="0"/>
          <w:numId w:val="1"/>
        </w:numPr>
        <w:spacing w:after="60"/>
      </w:pPr>
      <w:r>
        <w:rPr>
          <w:rFonts w:ascii="Arial" w:cs="Arial" w:eastAsia="Arial" w:hAnsi="Arial"/>
          <w:sz w:val="20"/>
          <w:szCs w:val="20"/>
        </w:rPr>
        <w:t xml:space="preserve">Section 2: Engagement Scope and Limitations Disclaimer</w:t>
      </w:r>
    </w:p>
    <w:p>
      <w:pPr>
        <w:pStyle w:val="ListParagraph"/>
        <w:numPr>
          <w:ilvl w:val="0"/>
          <w:numId w:val="1"/>
        </w:numPr>
        <w:spacing w:after="60"/>
      </w:pPr>
      <w:r>
        <w:rPr>
          <w:rFonts w:ascii="Arial" w:cs="Arial" w:eastAsia="Arial" w:hAnsi="Arial"/>
          <w:sz w:val="20"/>
          <w:szCs w:val="20"/>
        </w:rPr>
        <w:t xml:space="preserve">Section 3: Framework Scope Boundary Statement</w:t>
      </w:r>
    </w:p>
    <w:p>
      <w:pPr>
        <w:pStyle w:val="ListParagraph"/>
        <w:numPr>
          <w:ilvl w:val="0"/>
          <w:numId w:val="1"/>
        </w:numPr>
        <w:spacing w:after="60"/>
      </w:pPr>
      <w:r>
        <w:rPr>
          <w:rFonts w:ascii="Arial" w:cs="Arial" w:eastAsia="Arial" w:hAnsi="Arial"/>
          <w:sz w:val="20"/>
          <w:szCs w:val="20"/>
        </w:rPr>
        <w:t xml:space="preserve">Section 4: Review Methodology Summary</w:t>
      </w:r>
    </w:p>
    <w:p>
      <w:pPr>
        <w:pStyle w:val="ListParagraph"/>
        <w:numPr>
          <w:ilvl w:val="0"/>
          <w:numId w:val="1"/>
        </w:numPr>
        <w:spacing w:after="60"/>
      </w:pPr>
      <w:r>
        <w:rPr>
          <w:rFonts w:ascii="Arial" w:cs="Arial" w:eastAsia="Arial" w:hAnsi="Arial"/>
          <w:sz w:val="20"/>
          <w:szCs w:val="20"/>
        </w:rPr>
        <w:t xml:space="preserve">Section 5: Findings per Framework Control/Article</w:t>
      </w:r>
    </w:p>
    <w:p>
      <w:pPr>
        <w:pStyle w:val="ListParagraph"/>
        <w:numPr>
          <w:ilvl w:val="0"/>
          <w:numId w:val="1"/>
        </w:numPr>
        <w:spacing w:after="60"/>
      </w:pPr>
      <w:r>
        <w:rPr>
          <w:rFonts w:ascii="Arial" w:cs="Arial" w:eastAsia="Arial" w:hAnsi="Arial"/>
          <w:sz w:val="20"/>
          <w:szCs w:val="20"/>
        </w:rPr>
        <w:t xml:space="preserve">Section 6: Gap Register</w:t>
      </w:r>
    </w:p>
    <w:p>
      <w:pPr>
        <w:pStyle w:val="ListParagraph"/>
        <w:numPr>
          <w:ilvl w:val="0"/>
          <w:numId w:val="1"/>
        </w:numPr>
        <w:spacing w:after="60"/>
      </w:pPr>
      <w:r>
        <w:rPr>
          <w:rFonts w:ascii="Arial" w:cs="Arial" w:eastAsia="Arial" w:hAnsi="Arial"/>
          <w:sz w:val="20"/>
          <w:szCs w:val="20"/>
        </w:rPr>
        <w:t xml:space="preserve">Section 7: Opinion Statement</w:t>
      </w:r>
    </w:p>
    <w:p>
      <w:pPr>
        <w:pStyle w:val="ListParagraph"/>
        <w:numPr>
          <w:ilvl w:val="0"/>
          <w:numId w:val="1"/>
        </w:numPr>
        <w:spacing w:after="60"/>
      </w:pPr>
      <w:r>
        <w:rPr>
          <w:rFonts w:ascii="Arial" w:cs="Arial" w:eastAsia="Arial" w:hAnsi="Arial"/>
          <w:sz w:val="20"/>
          <w:szCs w:val="20"/>
        </w:rPr>
        <w:t xml:space="preserve">Section 8: Validity Period and Re-validation Trigger</w:t>
      </w:r>
    </w:p>
    <w:p>
      <w:pPr>
        <w:pStyle w:val="ListParagraph"/>
        <w:numPr>
          <w:ilvl w:val="0"/>
          <w:numId w:val="1"/>
        </w:numPr>
        <w:spacing w:after="60"/>
      </w:pPr>
      <w:r>
        <w:rPr>
          <w:rFonts w:ascii="Arial" w:cs="Arial" w:eastAsia="Arial" w:hAnsi="Arial"/>
          <w:sz w:val="20"/>
          <w:szCs w:val="20"/>
        </w:rPr>
        <w:t xml:space="preserve">Section 9: SME Signature and Credential Reference</w:t>
      </w:r>
    </w:p>
    <w:p>
      <w:pPr>
        <w:spacing w:after="120" w:before="120"/>
      </w:pPr>
      <w:r>
        <w:rPr>
          <w:rFonts w:ascii="Arial" w:cs="Arial" w:eastAsia="Arial" w:hAnsi="Arial"/>
          <w:sz w:val="20"/>
          <w:szCs w:val="20"/>
        </w:rPr>
        <w:t xml:space="preserve">Refer to SARO EVF-QCO-v1.0 template for full structure and mandatory language requirements.</w:t>
      </w:r>
    </w:p>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4. Review Methodology</w:t>
      </w:r>
    </w:p>
    <w:p>
      <w:pPr>
        <w:pStyle w:val="ListParagraph"/>
        <w:numPr>
          <w:ilvl w:val="0"/>
          <w:numId w:val="1"/>
        </w:numPr>
        <w:spacing w:after="60"/>
      </w:pPr>
      <w:r>
        <w:rPr>
          <w:rFonts w:ascii="Arial" w:cs="Arial" w:eastAsia="Arial" w:hAnsi="Arial"/>
          <w:sz w:val="20"/>
          <w:szCs w:val="20"/>
        </w:rPr>
        <w:t xml:space="preserve">Phase 1 — Document Review: SME Firm reviews SARO Evidence Package (classified CONFIDENTIAL) including architecture documentation, scoring engine specifications, TRACE timeline design, and compliance mapping artefacts.</w:t>
      </w:r>
    </w:p>
    <w:p>
      <w:pPr>
        <w:pStyle w:val="ListParagraph"/>
        <w:numPr>
          <w:ilvl w:val="0"/>
          <w:numId w:val="1"/>
        </w:numPr>
        <w:spacing w:after="60"/>
      </w:pPr>
      <w:r>
        <w:rPr>
          <w:rFonts w:ascii="Arial" w:cs="Arial" w:eastAsia="Arial" w:hAnsi="Arial"/>
          <w:sz w:val="20"/>
          <w:szCs w:val="20"/>
        </w:rPr>
        <w:t xml:space="preserve">Phase 2 — Product Demonstration: SARO team provides live or recorded product demonstration covering all in-scope framework features. SME may request clarification of specific capabilities.</w:t>
      </w:r>
    </w:p>
    <w:p>
      <w:pPr>
        <w:pStyle w:val="ListParagraph"/>
        <w:numPr>
          <w:ilvl w:val="0"/>
          <w:numId w:val="1"/>
        </w:numPr>
        <w:spacing w:after="60"/>
      </w:pPr>
      <w:r>
        <w:rPr>
          <w:rFonts w:ascii="Arial" w:cs="Arial" w:eastAsia="Arial" w:hAnsi="Arial"/>
          <w:sz w:val="20"/>
          <w:szCs w:val="20"/>
        </w:rPr>
        <w:t xml:space="preserve">Phase 3 — Q&amp;A and Gap Clarification: Structured written Q&amp;A exchange. SARO provides written responses within 2 business days of each query batch.</w:t>
      </w:r>
    </w:p>
    <w:p>
      <w:pPr>
        <w:pStyle w:val="ListParagraph"/>
        <w:numPr>
          <w:ilvl w:val="0"/>
          <w:numId w:val="1"/>
        </w:numPr>
        <w:spacing w:after="60"/>
      </w:pPr>
      <w:r>
        <w:rPr>
          <w:rFonts w:ascii="Arial" w:cs="Arial" w:eastAsia="Arial" w:hAnsi="Arial"/>
          <w:sz w:val="20"/>
          <w:szCs w:val="20"/>
        </w:rPr>
        <w:t xml:space="preserve">Phase 4 — Draft QCO Review Cycle: SARO Legal reviews draft QCO for factual accuracy and language compliance. Maximum two review rounds. SME retains editorial independence over professional opinion content.</w:t>
      </w:r>
    </w:p>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5.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c>
          <w:tcPr>
            <w:tcW w:type="dxa" w:w="1800"/>
            <w:shd w:fill="D9D9D9" w:color="auto" w:val="clear"/>
          </w:tcPr>
          <w:p>
            <w:r>
              <w:rPr>
                <w:rFonts w:ascii="Arial" w:cs="Arial" w:eastAsia="Arial" w:hAnsi="Arial"/>
                <w:b/>
                <w:bCs/>
                <w:sz w:val="20"/>
                <w:szCs w:val="20"/>
              </w:rPr>
              <w:t xml:space="preserve">Phase</w:t>
            </w:r>
          </w:p>
        </w:tc>
        <w:tc>
          <w:tcPr>
            <w:tcW w:type="dxa" w:w="3000"/>
            <w:shd w:fill="D9D9D9" w:color="auto" w:val="clear"/>
          </w:tcPr>
          <w:p>
            <w:r>
              <w:rPr>
                <w:rFonts w:ascii="Arial" w:cs="Arial" w:eastAsia="Arial" w:hAnsi="Arial"/>
                <w:b/>
                <w:bCs/>
                <w:sz w:val="20"/>
                <w:szCs w:val="20"/>
              </w:rPr>
              <w:t xml:space="preserve">Activity</w:t>
            </w:r>
          </w:p>
        </w:tc>
        <w:tc>
          <w:tcPr>
            <w:tcW w:type="dxa" w:w="1800"/>
            <w:shd w:fill="D9D9D9" w:color="auto" w:val="clear"/>
          </w:tcPr>
          <w:p>
            <w:r>
              <w:rPr>
                <w:rFonts w:ascii="Arial" w:cs="Arial" w:eastAsia="Arial" w:hAnsi="Arial"/>
                <w:b/>
                <w:bCs/>
                <w:sz w:val="20"/>
                <w:szCs w:val="20"/>
              </w:rPr>
              <w:t xml:space="preserve">Duration</w:t>
            </w:r>
          </w:p>
        </w:tc>
        <w:tc>
          <w:tcPr>
            <w:tcW w:type="dxa" w:w="2760"/>
            <w:shd w:fill="D9D9D9" w:color="auto" w:val="clear"/>
          </w:tcPr>
          <w:p>
            <w:r>
              <w:rPr>
                <w:rFonts w:ascii="Arial" w:cs="Arial" w:eastAsia="Arial" w:hAnsi="Arial"/>
                <w:b/>
                <w:bCs/>
                <w:sz w:val="20"/>
                <w:szCs w:val="20"/>
              </w:rPr>
              <w:t xml:space="preserve">Owner</w:t>
            </w:r>
          </w:p>
        </w:tc>
      </w:tr>
      <w:tr>
        <w:tc>
          <w:tcPr>
            <w:tcW w:type="dxa" w:w="1800"/>
            <w:shd w:fill="FFFFFF" w:color="auto" w:val="clear"/>
          </w:tcPr>
          <w:p>
            <w:r>
              <w:rPr>
                <w:rFonts w:ascii="Arial" w:cs="Arial" w:eastAsia="Arial" w:hAnsi="Arial"/>
                <w:sz w:val="20"/>
                <w:szCs w:val="20"/>
              </w:rPr>
              <w:t xml:space="preserve">1</w:t>
            </w:r>
          </w:p>
        </w:tc>
        <w:tc>
          <w:tcPr>
            <w:tcW w:type="dxa" w:w="3000"/>
            <w:shd w:fill="FFFFFF" w:color="auto" w:val="clear"/>
          </w:tcPr>
          <w:p>
            <w:r>
              <w:rPr>
                <w:rFonts w:ascii="Arial" w:cs="Arial" w:eastAsia="Arial" w:hAnsi="Arial"/>
                <w:sz w:val="20"/>
                <w:szCs w:val="20"/>
              </w:rPr>
              <w:t xml:space="preserve">Document Review</w:t>
            </w:r>
          </w:p>
        </w:tc>
        <w:tc>
          <w:tcPr>
            <w:tcW w:type="dxa" w:w="1800"/>
            <w:shd w:fill="FFFFFF" w:color="auto" w:val="clear"/>
          </w:tcPr>
          <w:p>
            <w:r>
              <w:rPr>
                <w:rFonts w:ascii="Arial" w:cs="Arial" w:eastAsia="Arial" w:hAnsi="Arial"/>
                <w:sz w:val="20"/>
                <w:szCs w:val="20"/>
              </w:rPr>
              <w:t xml:space="preserve">5 business days</w:t>
            </w:r>
          </w:p>
        </w:tc>
        <w:tc>
          <w:tcPr>
            <w:tcW w:type="dxa" w:w="2760"/>
            <w:shd w:fill="FFFFFF" w:color="auto" w:val="clear"/>
          </w:tcPr>
          <w:p>
            <w:r>
              <w:rPr>
                <w:rFonts w:ascii="Arial" w:cs="Arial" w:eastAsia="Arial" w:hAnsi="Arial"/>
                <w:sz w:val="20"/>
                <w:szCs w:val="20"/>
              </w:rPr>
              <w:t xml:space="preserve">SME Firm</w:t>
            </w:r>
          </w:p>
        </w:tc>
      </w:tr>
      <w:tr>
        <w:tc>
          <w:tcPr>
            <w:tcW w:type="dxa" w:w="1800"/>
            <w:shd w:fill="FFFFFF" w:color="auto" w:val="clear"/>
          </w:tcPr>
          <w:p>
            <w:r>
              <w:rPr>
                <w:rFonts w:ascii="Arial" w:cs="Arial" w:eastAsia="Arial" w:hAnsi="Arial"/>
                <w:sz w:val="20"/>
                <w:szCs w:val="20"/>
              </w:rPr>
              <w:t xml:space="preserve">2</w:t>
            </w:r>
          </w:p>
        </w:tc>
        <w:tc>
          <w:tcPr>
            <w:tcW w:type="dxa" w:w="3000"/>
            <w:shd w:fill="FFFFFF" w:color="auto" w:val="clear"/>
          </w:tcPr>
          <w:p>
            <w:r>
              <w:rPr>
                <w:rFonts w:ascii="Arial" w:cs="Arial" w:eastAsia="Arial" w:hAnsi="Arial"/>
                <w:sz w:val="20"/>
                <w:szCs w:val="20"/>
              </w:rPr>
              <w:t xml:space="preserve">Product Demonstration</w:t>
            </w:r>
          </w:p>
        </w:tc>
        <w:tc>
          <w:tcPr>
            <w:tcW w:type="dxa" w:w="1800"/>
            <w:shd w:fill="FFFFFF" w:color="auto" w:val="clear"/>
          </w:tcPr>
          <w:p>
            <w:r>
              <w:rPr>
                <w:rFonts w:ascii="Arial" w:cs="Arial" w:eastAsia="Arial" w:hAnsi="Arial"/>
                <w:sz w:val="20"/>
                <w:szCs w:val="20"/>
              </w:rPr>
              <w:t xml:space="preserve">2 business days</w:t>
            </w:r>
          </w:p>
        </w:tc>
        <w:tc>
          <w:tcPr>
            <w:tcW w:type="dxa" w:w="2760"/>
            <w:shd w:fill="FFFFFF" w:color="auto" w:val="clear"/>
          </w:tcPr>
          <w:p>
            <w:r>
              <w:rPr>
                <w:rFonts w:ascii="Arial" w:cs="Arial" w:eastAsia="Arial" w:hAnsi="Arial"/>
                <w:sz w:val="20"/>
                <w:szCs w:val="20"/>
              </w:rPr>
              <w:t xml:space="preserve">SARO + SME Firm</w:t>
            </w:r>
          </w:p>
        </w:tc>
      </w:tr>
      <w:tr>
        <w:tc>
          <w:tcPr>
            <w:tcW w:type="dxa" w:w="1800"/>
            <w:shd w:fill="FFFFFF" w:color="auto" w:val="clear"/>
          </w:tcPr>
          <w:p>
            <w:r>
              <w:rPr>
                <w:rFonts w:ascii="Arial" w:cs="Arial" w:eastAsia="Arial" w:hAnsi="Arial"/>
                <w:sz w:val="20"/>
                <w:szCs w:val="20"/>
              </w:rPr>
              <w:t xml:space="preserve">3</w:t>
            </w:r>
          </w:p>
        </w:tc>
        <w:tc>
          <w:tcPr>
            <w:tcW w:type="dxa" w:w="3000"/>
            <w:shd w:fill="FFFFFF" w:color="auto" w:val="clear"/>
          </w:tcPr>
          <w:p>
            <w:r>
              <w:rPr>
                <w:rFonts w:ascii="Arial" w:cs="Arial" w:eastAsia="Arial" w:hAnsi="Arial"/>
                <w:sz w:val="20"/>
                <w:szCs w:val="20"/>
              </w:rPr>
              <w:t xml:space="preserve">Q&amp;A and Gap Clarification</w:t>
            </w:r>
          </w:p>
        </w:tc>
        <w:tc>
          <w:tcPr>
            <w:tcW w:type="dxa" w:w="1800"/>
            <w:shd w:fill="FFFFFF" w:color="auto" w:val="clear"/>
          </w:tcPr>
          <w:p>
            <w:r>
              <w:rPr>
                <w:rFonts w:ascii="Arial" w:cs="Arial" w:eastAsia="Arial" w:hAnsi="Arial"/>
                <w:sz w:val="20"/>
                <w:szCs w:val="20"/>
              </w:rPr>
              <w:t xml:space="preserve">3 business days</w:t>
            </w:r>
          </w:p>
        </w:tc>
        <w:tc>
          <w:tcPr>
            <w:tcW w:type="dxa" w:w="2760"/>
            <w:shd w:fill="FFFFFF" w:color="auto" w:val="clear"/>
          </w:tcPr>
          <w:p>
            <w:r>
              <w:rPr>
                <w:rFonts w:ascii="Arial" w:cs="Arial" w:eastAsia="Arial" w:hAnsi="Arial"/>
                <w:sz w:val="20"/>
                <w:szCs w:val="20"/>
              </w:rPr>
              <w:t xml:space="preserve">SME Firm</w:t>
            </w:r>
          </w:p>
        </w:tc>
      </w:tr>
      <w:tr>
        <w:tc>
          <w:tcPr>
            <w:tcW w:type="dxa" w:w="1800"/>
            <w:shd w:fill="FFFFFF" w:color="auto" w:val="clear"/>
          </w:tcPr>
          <w:p>
            <w:r>
              <w:rPr>
                <w:rFonts w:ascii="Arial" w:cs="Arial" w:eastAsia="Arial" w:hAnsi="Arial"/>
                <w:sz w:val="20"/>
                <w:szCs w:val="20"/>
              </w:rPr>
              <w:t xml:space="preserve">4</w:t>
            </w:r>
          </w:p>
        </w:tc>
        <w:tc>
          <w:tcPr>
            <w:tcW w:type="dxa" w:w="3000"/>
            <w:shd w:fill="FFFFFF" w:color="auto" w:val="clear"/>
          </w:tcPr>
          <w:p>
            <w:r>
              <w:rPr>
                <w:rFonts w:ascii="Arial" w:cs="Arial" w:eastAsia="Arial" w:hAnsi="Arial"/>
                <w:sz w:val="20"/>
                <w:szCs w:val="20"/>
              </w:rPr>
              <w:t xml:space="preserve">Draft QCO Review Cycle (max 2 rounds)</w:t>
            </w:r>
          </w:p>
        </w:tc>
        <w:tc>
          <w:tcPr>
            <w:tcW w:type="dxa" w:w="1800"/>
            <w:shd w:fill="FFFFFF" w:color="auto" w:val="clear"/>
          </w:tcPr>
          <w:p>
            <w:r>
              <w:rPr>
                <w:rFonts w:ascii="Arial" w:cs="Arial" w:eastAsia="Arial" w:hAnsi="Arial"/>
                <w:sz w:val="20"/>
                <w:szCs w:val="20"/>
              </w:rPr>
              <w:t xml:space="preserve">5 business days</w:t>
            </w:r>
          </w:p>
        </w:tc>
        <w:tc>
          <w:tcPr>
            <w:tcW w:type="dxa" w:w="2760"/>
            <w:shd w:fill="FFFFFF" w:color="auto" w:val="clear"/>
          </w:tcPr>
          <w:p>
            <w:r>
              <w:rPr>
                <w:rFonts w:ascii="Arial" w:cs="Arial" w:eastAsia="Arial" w:hAnsi="Arial"/>
                <w:sz w:val="20"/>
                <w:szCs w:val="20"/>
              </w:rPr>
              <w:t xml:space="preserve">SME Firm + SARO Legal</w:t>
            </w:r>
          </w:p>
        </w:tc>
      </w:tr>
    </w:tbl>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6.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9D9D9" w:color="auto" w:val="clear"/>
          </w:tcPr>
          <w:p>
            <w:r>
              <w:rPr>
                <w:rFonts w:ascii="Arial" w:cs="Arial" w:eastAsia="Arial" w:hAnsi="Arial"/>
                <w:b/>
                <w:bCs/>
                <w:sz w:val="20"/>
                <w:szCs w:val="20"/>
              </w:rPr>
              <w:t xml:space="preserve">Item</w:t>
            </w:r>
          </w:p>
        </w:tc>
        <w:tc>
          <w:tcPr>
            <w:tcW w:type="dxa" w:w="6360"/>
            <w:shd w:fill="D9D9D9" w:color="auto" w:val="clear"/>
          </w:tcPr>
          <w:p>
            <w:r>
              <w:rPr>
                <w:rFonts w:ascii="Arial" w:cs="Arial" w:eastAsia="Arial" w:hAnsi="Arial"/>
                <w:b/>
                <w:bCs/>
                <w:sz w:val="20"/>
                <w:szCs w:val="20"/>
              </w:rPr>
              <w:t xml:space="preserve">Terms</w:t>
            </w:r>
          </w:p>
        </w:tc>
      </w:tr>
      <w:tr>
        <w:tc>
          <w:tcPr>
            <w:tcW w:type="dxa" w:w="3000"/>
            <w:shd w:fill="D9D9D9" w:color="auto" w:val="clear"/>
          </w:tcPr>
          <w:p>
            <w:r>
              <w:rPr>
                <w:rFonts w:ascii="Arial" w:cs="Arial" w:eastAsia="Arial" w:hAnsi="Arial"/>
                <w:b/>
                <w:bCs/>
                <w:sz w:val="20"/>
                <w:szCs w:val="20"/>
              </w:rPr>
              <w:t xml:space="preserve">Fixed Fee</w:t>
            </w:r>
          </w:p>
        </w:tc>
        <w:tc>
          <w:tcPr>
            <w:tcW w:type="dxa" w:w="6360"/>
            <w:shd w:fill="FFFFFF" w:color="auto" w:val="clear"/>
          </w:tcPr>
          <w:p>
            <w:r>
              <w:rPr>
                <w:rFonts w:ascii="Arial" w:cs="Arial" w:eastAsia="Arial" w:hAnsi="Arial"/>
                <w:sz w:val="20"/>
                <w:szCs w:val="20"/>
              </w:rPr>
              <w:t xml:space="preserve">[Amount] [Currency] — payable upon acceptance of final QCO</w:t>
            </w:r>
          </w:p>
        </w:tc>
      </w:tr>
      <w:tr>
        <w:tc>
          <w:tcPr>
            <w:tcW w:type="dxa" w:w="3000"/>
            <w:shd w:fill="D9D9D9" w:color="auto" w:val="clear"/>
          </w:tcPr>
          <w:p>
            <w:r>
              <w:rPr>
                <w:rFonts w:ascii="Arial" w:cs="Arial" w:eastAsia="Arial" w:hAnsi="Arial"/>
                <w:b/>
                <w:bCs/>
                <w:sz w:val="20"/>
                <w:szCs w:val="20"/>
              </w:rPr>
              <w:t xml:space="preserve">Expense Policy</w:t>
            </w:r>
          </w:p>
        </w:tc>
        <w:tc>
          <w:tcPr>
            <w:tcW w:type="dxa" w:w="6360"/>
            <w:shd w:fill="FFFFFF" w:color="auto" w:val="clear"/>
          </w:tcPr>
          <w:p>
            <w:r>
              <w:rPr>
                <w:rFonts w:ascii="Arial" w:cs="Arial" w:eastAsia="Arial" w:hAnsi="Arial"/>
                <w:sz w:val="20"/>
                <w:szCs w:val="20"/>
              </w:rPr>
              <w:t xml:space="preserve">Pre-approved reasonable travel and accommodation at cost; receipts required</w:t>
            </w:r>
          </w:p>
        </w:tc>
      </w:tr>
      <w:tr>
        <w:tc>
          <w:tcPr>
            <w:tcW w:type="dxa" w:w="3000"/>
            <w:shd w:fill="D9D9D9" w:color="auto" w:val="clear"/>
          </w:tcPr>
          <w:p>
            <w:r>
              <w:rPr>
                <w:rFonts w:ascii="Arial" w:cs="Arial" w:eastAsia="Arial" w:hAnsi="Arial"/>
                <w:b/>
                <w:bCs/>
                <w:sz w:val="20"/>
                <w:szCs w:val="20"/>
              </w:rPr>
              <w:t xml:space="preserve">Invoice Terms</w:t>
            </w:r>
          </w:p>
        </w:tc>
        <w:tc>
          <w:tcPr>
            <w:tcW w:type="dxa" w:w="6360"/>
            <w:shd w:fill="FFFFFF" w:color="auto" w:val="clear"/>
          </w:tcPr>
          <w:p>
            <w:r>
              <w:rPr>
                <w:rFonts w:ascii="Arial" w:cs="Arial" w:eastAsia="Arial" w:hAnsi="Arial"/>
                <w:sz w:val="20"/>
                <w:szCs w:val="20"/>
              </w:rPr>
              <w:t xml:space="preserve">Net 30 days from invoice date</w:t>
            </w:r>
          </w:p>
        </w:tc>
      </w:tr>
    </w:tbl>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7. Confidentiality Obligations</w:t>
      </w:r>
    </w:p>
    <w:p>
      <w:pPr>
        <w:pStyle w:val="ListParagraph"/>
        <w:numPr>
          <w:ilvl w:val="0"/>
          <w:numId w:val="1"/>
        </w:numPr>
        <w:spacing w:after="60"/>
      </w:pPr>
      <w:r>
        <w:rPr>
          <w:rFonts w:ascii="Arial" w:cs="Arial" w:eastAsia="Arial" w:hAnsi="Arial"/>
          <w:sz w:val="20"/>
          <w:szCs w:val="20"/>
        </w:rPr>
        <w:t xml:space="preserve">The SARO Evidence Package is classified CONFIDENTIAL and may be used solely for the purpose of this engagement.</w:t>
      </w:r>
    </w:p>
    <w:p>
      <w:pPr>
        <w:pStyle w:val="ListParagraph"/>
        <w:numPr>
          <w:ilvl w:val="0"/>
          <w:numId w:val="1"/>
        </w:numPr>
        <w:spacing w:after="60"/>
      </w:pPr>
      <w:r>
        <w:rPr>
          <w:rFonts w:ascii="Arial" w:cs="Arial" w:eastAsia="Arial" w:hAnsi="Arial"/>
          <w:sz w:val="20"/>
          <w:szCs w:val="20"/>
        </w:rPr>
        <w:t xml:space="preserve">The SME Firm shall not disclose any element of the Evidence Package to third parties without prior written consent from SARO Legal Counsel.</w:t>
      </w:r>
    </w:p>
    <w:p>
      <w:pPr>
        <w:pStyle w:val="ListParagraph"/>
        <w:numPr>
          <w:ilvl w:val="0"/>
          <w:numId w:val="1"/>
        </w:numPr>
        <w:spacing w:after="60"/>
      </w:pPr>
      <w:r>
        <w:rPr>
          <w:rFonts w:ascii="Arial" w:cs="Arial" w:eastAsia="Arial" w:hAnsi="Arial"/>
          <w:sz w:val="20"/>
          <w:szCs w:val="20"/>
        </w:rPr>
        <w:t xml:space="preserve">All Evidence Package materials must be returned or securely destroyed within 14 days of engagement completion. No retention beyond engagement close.</w:t>
      </w:r>
    </w:p>
    <w:p>
      <w:pPr>
        <w:pStyle w:val="ListParagraph"/>
        <w:numPr>
          <w:ilvl w:val="0"/>
          <w:numId w:val="1"/>
        </w:numPr>
        <w:spacing w:after="60"/>
      </w:pPr>
      <w:r>
        <w:rPr>
          <w:rFonts w:ascii="Arial" w:cs="Arial" w:eastAsia="Arial" w:hAnsi="Arial"/>
          <w:sz w:val="20"/>
          <w:szCs w:val="20"/>
        </w:rPr>
        <w:t xml:space="preserve">These obligations survive termination of this SOW for a period of five (5) years.</w:t>
      </w:r>
    </w:p>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8. IP Assignment</w:t>
      </w:r>
    </w:p>
    <w:p>
      <w:pPr>
        <w:spacing w:after="120"/>
      </w:pPr>
      <w:r>
        <w:rPr>
          <w:rFonts w:ascii="Arial" w:cs="Arial" w:eastAsia="Arial" w:hAnsi="Arial"/>
          <w:sz w:val="20"/>
          <w:szCs w:val="20"/>
        </w:rPr>
        <w:t xml:space="preserve">The final QCO document becomes the exclusive property of SARO upon receipt of full payment. The SME Firm retains the right to describe the scope of this engagement in professional credentials and firm marketing materials, provided no SARO-confidential information is disclosed.</w:t>
      </w:r>
    </w:p>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9. Scope Boundary Confirmation</w:t>
      </w:r>
    </w:p>
    <w:p>
      <w:pPr>
        <w:pBdr>
          <w:top w:val="single" w:color="CC0000" w:sz="6"/>
          <w:bottom w:val="single" w:color="CC0000" w:sz="6"/>
          <w:left w:val="single" w:color="CC0000" w:sz="6"/>
          <w:right w:val="single" w:color="CC0000" w:sz="6"/>
        </w:pBdr>
        <w:shd w:fill="FFF2CC" w:color="auto" w:val="clear"/>
        <w:spacing w:after="240"/>
      </w:pPr>
      <w:r>
        <w:rPr>
          <w:rFonts w:ascii="Arial" w:cs="Arial" w:eastAsia="Arial" w:hAnsi="Arial"/>
          <w:b/>
          <w:bCs/>
          <w:sz w:val="20"/>
          <w:szCs w:val="20"/>
        </w:rPr>
        <w:t xml:space="preserve">Important: </w:t>
      </w:r>
      <w:r>
        <w:rPr>
          <w:rFonts w:ascii="Arial" w:cs="Arial" w:eastAsia="Arial" w:hAnsi="Arial"/>
          <w:sz w:val="20"/>
          <w:szCs w:val="20"/>
        </w:rPr>
        <w:t xml:space="preserve">This Statement of Work does not constitute, and shall not be represented as constituting, a certification, conformity assessment, regulatory approval, or legal advice to SARO customers or any third party. The QCO deliverable is a professional opinion document for internal SARO governance purposes only.</w:t>
      </w:r>
    </w:p>
    <w:p>
      <w:r>
        <w:rPr>
          <w:rFonts w:ascii="Arial" w:cs="Arial" w:eastAsia="Arial" w:hAnsi="Arial"/>
          <w:sz w:val="22"/>
          <w:szCs w:val="22"/>
        </w:rPr>
        <w:t xml:space="preserve"/>
      </w:r>
    </w:p>
    <w:p>
      <w:pPr>
        <w:pStyle w:val="Heading2"/>
        <w:pBdr>
          <w:bottom w:val="single" w:color="2F5496" w:sz="6"/>
        </w:pBdr>
        <w:spacing w:after="120" w:before="240"/>
      </w:pPr>
      <w:r>
        <w:rPr>
          <w:rFonts w:ascii="Arial" w:cs="Arial" w:eastAsia="Arial" w:hAnsi="Arial"/>
          <w:b/>
          <w:bCs/>
          <w:sz w:val="24"/>
          <w:szCs w:val="24"/>
        </w:rPr>
        <w:t xml:space="preserve">10.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D9D9" w:color="auto" w:val="clear"/>
          </w:tcPr>
          <w:p>
            <w:r>
              <w:rPr>
                <w:rFonts w:ascii="Arial" w:cs="Arial" w:eastAsia="Arial" w:hAnsi="Arial"/>
                <w:b/>
                <w:bCs/>
                <w:sz w:val="20"/>
                <w:szCs w:val="20"/>
              </w:rPr>
              <w:t xml:space="preserve">SARO Product Owner</w:t>
            </w:r>
          </w:p>
        </w:tc>
        <w:tc>
          <w:tcPr>
            <w:tcW w:type="dxa" w:w="2340"/>
            <w:shd w:fill="D9D9D9" w:color="auto" w:val="clear"/>
          </w:tcPr>
          <w:p>
            <w:r>
              <w:rPr>
                <w:rFonts w:ascii="Arial" w:cs="Arial" w:eastAsia="Arial" w:hAnsi="Arial"/>
                <w:b/>
                <w:bCs/>
                <w:sz w:val="20"/>
                <w:szCs w:val="20"/>
              </w:rPr>
              <w:t xml:space="preserve">SARO Legal Counsel</w:t>
            </w:r>
          </w:p>
        </w:tc>
        <w:tc>
          <w:tcPr>
            <w:tcW w:type="dxa" w:w="2340"/>
            <w:shd w:fill="D9D9D9" w:color="auto" w:val="clear"/>
          </w:tcPr>
          <w:p>
            <w:r>
              <w:rPr>
                <w:rFonts w:ascii="Arial" w:cs="Arial" w:eastAsia="Arial" w:hAnsi="Arial"/>
                <w:b/>
                <w:bCs/>
                <w:sz w:val="20"/>
                <w:szCs w:val="20"/>
              </w:rPr>
              <w:t xml:space="preserve">SME Key Contact</w:t>
            </w:r>
          </w:p>
        </w:tc>
        <w:tc>
          <w:tcPr>
            <w:tcW w:type="dxa" w:w="2340"/>
            <w:shd w:fill="D9D9D9" w:color="auto" w:val="clear"/>
          </w:tcPr>
          <w:p>
            <w:r>
              <w:rPr>
                <w:rFonts w:ascii="Arial" w:cs="Arial" w:eastAsia="Arial" w:hAnsi="Arial"/>
                <w:b/>
                <w:bCs/>
                <w:sz w:val="20"/>
                <w:szCs w:val="20"/>
              </w:rPr>
              <w:t xml:space="preserve">SME Key Contact Title</w:t>
            </w:r>
          </w:p>
        </w:tc>
      </w:tr>
      <w:tr>
        <w:tc>
          <w:tcPr>
            <w:tcW w:type="dxa" w:w="2340"/>
            <w:shd w:fill="FFFFFF" w:color="auto" w:val="clear"/>
          </w:tcPr>
          <w:p>
            <w:r>
              <w:rPr>
                <w:rFonts w:ascii="Arial" w:cs="Arial" w:eastAsia="Arial" w:hAnsi="Arial"/>
                <w:sz w:val="20"/>
                <w:szCs w:val="20"/>
              </w:rPr>
              <w:t xml:space="preserve">Signature: ________________</w:t>
            </w:r>
          </w:p>
        </w:tc>
        <w:tc>
          <w:tcPr>
            <w:tcW w:type="dxa" w:w="2340"/>
            <w:shd w:fill="FFFFFF" w:color="auto" w:val="clear"/>
          </w:tcPr>
          <w:p>
            <w:r>
              <w:rPr>
                <w:rFonts w:ascii="Arial" w:cs="Arial" w:eastAsia="Arial" w:hAnsi="Arial"/>
                <w:sz w:val="20"/>
                <w:szCs w:val="20"/>
              </w:rPr>
              <w:t xml:space="preserve">Signature: ________________</w:t>
            </w:r>
          </w:p>
        </w:tc>
        <w:tc>
          <w:tcPr>
            <w:tcW w:type="dxa" w:w="2340"/>
            <w:shd w:fill="FFFFFF" w:color="auto" w:val="clear"/>
          </w:tcPr>
          <w:p>
            <w:r>
              <w:rPr>
                <w:rFonts w:ascii="Arial" w:cs="Arial" w:eastAsia="Arial" w:hAnsi="Arial"/>
                <w:sz w:val="20"/>
                <w:szCs w:val="20"/>
              </w:rPr>
              <w:t xml:space="preserve">Signature: ________________</w:t>
            </w:r>
          </w:p>
        </w:tc>
        <w:tc>
          <w:tcPr>
            <w:tcW w:type="dxa" w:w="2340"/>
            <w:shd w:fill="FFFFFF" w:color="auto" w:val="clear"/>
          </w:tcPr>
          <w:p>
            <w:r>
              <w:rPr>
                <w:rFonts w:ascii="Arial" w:cs="Arial" w:eastAsia="Arial" w:hAnsi="Arial"/>
                <w:sz w:val="20"/>
                <w:szCs w:val="20"/>
              </w:rPr>
              <w:t xml:space="preserve">Title: ________________</w:t>
            </w:r>
          </w:p>
        </w:tc>
      </w:tr>
      <w:tr>
        <w:tc>
          <w:tcPr>
            <w:tcW w:type="dxa" w:w="2340"/>
            <w:shd w:fill="FFFFFF" w:color="auto" w:val="clear"/>
          </w:tcPr>
          <w:p>
            <w:r>
              <w:rPr>
                <w:rFonts w:ascii="Arial" w:cs="Arial" w:eastAsia="Arial" w:hAnsi="Arial"/>
                <w:sz w:val="20"/>
                <w:szCs w:val="20"/>
              </w:rPr>
              <w:t xml:space="preserve">Date: ________________</w:t>
            </w:r>
          </w:p>
        </w:tc>
        <w:tc>
          <w:tcPr>
            <w:tcW w:type="dxa" w:w="2340"/>
            <w:shd w:fill="FFFFFF" w:color="auto" w:val="clear"/>
          </w:tcPr>
          <w:p>
            <w:r>
              <w:rPr>
                <w:rFonts w:ascii="Arial" w:cs="Arial" w:eastAsia="Arial" w:hAnsi="Arial"/>
                <w:sz w:val="20"/>
                <w:szCs w:val="20"/>
              </w:rPr>
              <w:t xml:space="preserve">Date: ________________</w:t>
            </w:r>
          </w:p>
        </w:tc>
        <w:tc>
          <w:tcPr>
            <w:tcW w:type="dxa" w:w="2340"/>
            <w:shd w:fill="FFFFFF" w:color="auto" w:val="clear"/>
          </w:tcPr>
          <w:p>
            <w:r>
              <w:rPr>
                <w:rFonts w:ascii="Arial" w:cs="Arial" w:eastAsia="Arial" w:hAnsi="Arial"/>
                <w:sz w:val="20"/>
                <w:szCs w:val="20"/>
              </w:rPr>
              <w:t xml:space="preserve">Date: ________________</w:t>
            </w:r>
          </w:p>
        </w:tc>
        <w:tc>
          <w:tcPr>
            <w:tcW w:type="dxa" w:w="2340"/>
            <w:shd w:fill="FFFFFF" w:color="auto" w:val="clear"/>
          </w:tcPr>
          <w:p>
            <w:r>
              <w:rPr>
                <w:rFonts w:ascii="Arial" w:cs="Arial" w:eastAsia="Arial" w:hAnsi="Arial"/>
                <w:sz w:val="20"/>
                <w:szCs w:val="20"/>
              </w:rPr>
              <w:t xml:space="preserve">Date: ________________</w:t>
            </w:r>
          </w:p>
        </w:tc>
      </w:tr>
    </w:tbl>
    <w:p>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SARO EVF-SOW-v1.0  |  Page </w:t>
    </w:r>
    <w:pgNum/>
    <w:r>
      <w:rPr>
        <w:rFonts w:ascii="Arial" w:cs="Arial" w:eastAsia="Arial" w:hAnsi="Arial"/>
        <w:sz w:val="18"/>
        <w:szCs w:val="18"/>
      </w:rPr>
      <w:t xml:space="preserve"> of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C0000"/>
        <w:sz w:val="18"/>
        <w:szCs w:val="18"/>
      </w:rPr>
      <w:t xml:space="preserve">CONFIDENTIAL — RESTRICTED | SARO EVF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2026-06-02T04:17:06.997Z</dcterms:created>
  <dcterms:modified xsi:type="dcterms:W3CDTF">2026-06-02T04:17:06.999Z</dcterms:modified>
</cp:coreProperties>
</file>

<file path=docProps/custom.xml><?xml version="1.0" encoding="utf-8"?>
<Properties xmlns="http://schemas.openxmlformats.org/officeDocument/2006/custom-properties" xmlns:vt="http://schemas.openxmlformats.org/officeDocument/2006/docPropsVTypes"/>
</file>