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DRC Programme in R</w:t>
        <w:br/>
      </w:r>
      <w:r>
        <w:rPr>
          <w:sz w:val="28"/>
        </w:rPr>
        <w:t>Instructor and Participant Practical Guide</w:t>
      </w:r>
    </w:p>
    <w:p>
      <w:r>
        <w:rPr>
          <w:b/>
        </w:rPr>
        <w:t xml:space="preserve">Workshop focus: </w:t>
      </w:r>
      <w:r>
        <w:t>Dose–response analysis and drug potency using the R package drc.</w:t>
      </w:r>
    </w:p>
    <w:p>
      <w:r>
        <w:rPr>
          <w:b/>
        </w:rPr>
        <w:t xml:space="preserve">Suggested duration: </w:t>
      </w:r>
      <w:r>
        <w:t xml:space="preserve">90–120 minutes | </w:t>
      </w:r>
      <w:r>
        <w:rPr>
          <w:b/>
        </w:rPr>
        <w:t xml:space="preserve">Level: </w:t>
      </w:r>
      <w:r>
        <w:t xml:space="preserve">Beginner to intermediate | </w:t>
      </w:r>
      <w:r>
        <w:rPr>
          <w:b/>
        </w:rPr>
        <w:t xml:space="preserve">Application: </w:t>
      </w:r>
      <w:r>
        <w:t>Experimental pharmacology, toxicology and veterinary pharmacology.</w:t>
      </w:r>
    </w:p>
    <w:p>
      <w:pPr>
        <w:pStyle w:val="Heading1"/>
      </w:pPr>
      <w:r>
        <w:t>1. Purpose of the practical</w:t>
      </w:r>
    </w:p>
    <w:p>
      <w:r>
        <w:t>This practical takes participants from a raw table of concentration–response observations to a fitted model, effective concentration estimates, a relative-potency comparison, diagnostic plots and a short scientific report. The companion R script contains executable commands and inline comments. Participants should run one section at a time and discuss the interpretation before moving to the next section.</w:t>
      </w:r>
    </w:p>
    <w:p>
      <w:r>
        <w:t>The exercise uses simulated data. Drug A is constructed to have a lower underlying EC50 than Drug B, while their maximum responses are initially similar. This known teaching scenario helps participants learn how the analysis works; it must not be presented as a real experimental finding.</w:t>
      </w:r>
    </w:p>
    <w:p>
      <w:pPr>
        <w:pStyle w:val="Heading1"/>
      </w:pPr>
      <w:r>
        <w:t>2. Learning outcomes</w:t>
      </w:r>
    </w:p>
    <w:p>
      <w:pPr>
        <w:pStyle w:val="ListBullet"/>
      </w:pPr>
      <w:r>
        <w:t>Explain the low-response, transition and plateau regions of a concentration–response curve.</w:t>
      </w:r>
    </w:p>
    <w:p>
      <w:pPr>
        <w:pStyle w:val="ListBullet"/>
      </w:pPr>
      <w:r>
        <w:t>Distinguish EC50, IC50, Emax, potency and efficacy.</w:t>
      </w:r>
    </w:p>
    <w:p>
      <w:pPr>
        <w:pStyle w:val="ListBullet"/>
      </w:pPr>
      <w:r>
        <w:t>Create, inspect and visualise a small dataset in R.</w:t>
      </w:r>
    </w:p>
    <w:p>
      <w:pPr>
        <w:pStyle w:val="ListBullet"/>
      </w:pPr>
      <w:r>
        <w:t>Fit a four-parameter log-logistic model using drm() and LL.4().</w:t>
      </w:r>
    </w:p>
    <w:p>
      <w:pPr>
        <w:pStyle w:val="ListBullet"/>
      </w:pPr>
      <w:r>
        <w:t>Estimate relative EC10, EC50 and EC90 with confidence intervals using ED().</w:t>
      </w:r>
    </w:p>
    <w:p>
      <w:pPr>
        <w:pStyle w:val="ListBullet"/>
      </w:pPr>
      <w:r>
        <w:t>Compare relative potency using EDcomp() and interpret the ratio in the correct direction.</w:t>
      </w:r>
    </w:p>
    <w:p>
      <w:pPr>
        <w:pStyle w:val="ListBullet"/>
      </w:pPr>
      <w:r>
        <w:t>Check fitted curves and residuals, export results, and describe findings without overstating them.</w:t>
      </w:r>
    </w:p>
    <w:p>
      <w:pPr>
        <w:pStyle w:val="Heading1"/>
      </w:pPr>
      <w:r>
        <w:t>3. Before participants start</w:t>
      </w:r>
    </w:p>
    <w:p>
      <w:pPr>
        <w:pStyle w:val="ListBullet"/>
      </w:pPr>
      <w:r>
        <w:t>Install R and preferably RStudio before the workshop.</w:t>
      </w:r>
    </w:p>
    <w:p>
      <w:pPr>
        <w:pStyle w:val="ListBullet"/>
      </w:pPr>
      <w:r>
        <w:t>Open DRC_Dose_Response_Workshop.R in RStudio.</w:t>
      </w:r>
    </w:p>
    <w:p>
      <w:pPr>
        <w:pStyle w:val="ListBullet"/>
      </w:pPr>
      <w:r>
        <w:t>Internet access may be needed for first-time package installation.</w:t>
      </w:r>
    </w:p>
    <w:p>
      <w:pPr>
        <w:pStyle w:val="ListBullet"/>
      </w:pPr>
      <w:r>
        <w:t>Run install.packages(c("drc", "ggplot2")) once if the packages are missing; then run library(drc) and library(ggplot2).</w:t>
      </w:r>
    </w:p>
    <w:p>
      <w:pPr>
        <w:pStyle w:val="ListBullet"/>
      </w:pPr>
      <w:r>
        <w:t>Explain the Console, script editor, Environment, Files and Plots panes.</w:t>
      </w:r>
    </w:p>
    <w:p>
      <w:pPr>
        <w:pStyle w:val="ListBullet"/>
      </w:pPr>
      <w:r>
        <w:t>Ask participants to run each section using Ctrl+Enter (Windows/Linux) or Cmd+Enter (macOS).</w:t>
      </w:r>
    </w:p>
    <w:p>
      <w:pPr>
        <w:pStyle w:val="Heading1"/>
      </w:pPr>
      <w:r>
        <w:t>4. Session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Time</w:t>
            </w:r>
          </w:p>
        </w:tc>
        <w:tc>
          <w:tcPr>
            <w:tcW w:type="dxa" w:w="3312"/>
          </w:tcPr>
          <w:p>
            <w:r>
              <w:t>Activity</w:t>
            </w:r>
          </w:p>
        </w:tc>
        <w:tc>
          <w:tcPr>
            <w:tcW w:type="dxa" w:w="3312"/>
          </w:tcPr>
          <w:p>
            <w:r>
              <w:t>Purpose</w:t>
            </w:r>
          </w:p>
        </w:tc>
      </w:tr>
      <w:tr>
        <w:tc>
          <w:tcPr>
            <w:tcW w:type="dxa" w:w="3312"/>
          </w:tcPr>
          <w:p>
            <w:r>
              <w:t>0–10 min</w:t>
            </w:r>
          </w:p>
        </w:tc>
        <w:tc>
          <w:tcPr>
            <w:tcW w:type="dxa" w:w="3312"/>
          </w:tcPr>
          <w:p>
            <w:r>
              <w:t>Concepts and terminology</w:t>
            </w:r>
          </w:p>
        </w:tc>
        <w:tc>
          <w:tcPr>
            <w:tcW w:type="dxa" w:w="3312"/>
          </w:tcPr>
          <w:p>
            <w:r>
              <w:t>Connect the biological question to the model.</w:t>
            </w:r>
          </w:p>
        </w:tc>
      </w:tr>
      <w:tr>
        <w:tc>
          <w:tcPr>
            <w:tcW w:type="dxa" w:w="3312"/>
          </w:tcPr>
          <w:p>
            <w:r>
              <w:t>10–25 min</w:t>
            </w:r>
          </w:p>
        </w:tc>
        <w:tc>
          <w:tcPr>
            <w:tcW w:type="dxa" w:w="3312"/>
          </w:tcPr>
          <w:p>
            <w:r>
              <w:t>R setup and dataset inspection</w:t>
            </w:r>
          </w:p>
        </w:tc>
        <w:tc>
          <w:tcPr>
            <w:tcW w:type="dxa" w:w="3312"/>
          </w:tcPr>
          <w:p>
            <w:r>
              <w:t>Understand objects, rows, variables and reproducibility.</w:t>
            </w:r>
          </w:p>
        </w:tc>
      </w:tr>
      <w:tr>
        <w:tc>
          <w:tcPr>
            <w:tcW w:type="dxa" w:w="3312"/>
          </w:tcPr>
          <w:p>
            <w:r>
              <w:t>25–40 min</w:t>
            </w:r>
          </w:p>
        </w:tc>
        <w:tc>
          <w:tcPr>
            <w:tcW w:type="dxa" w:w="3312"/>
          </w:tcPr>
          <w:p>
            <w:r>
              <w:t>Plot observed responses</w:t>
            </w:r>
          </w:p>
        </w:tc>
        <w:tc>
          <w:tcPr>
            <w:tcW w:type="dxa" w:w="3312"/>
          </w:tcPr>
          <w:p>
            <w:r>
              <w:t>Recognise the sigmoidal pattern and concentration scale.</w:t>
            </w:r>
          </w:p>
        </w:tc>
      </w:tr>
      <w:tr>
        <w:tc>
          <w:tcPr>
            <w:tcW w:type="dxa" w:w="3312"/>
          </w:tcPr>
          <w:p>
            <w:r>
              <w:t>40–60 min</w:t>
            </w:r>
          </w:p>
        </w:tc>
        <w:tc>
          <w:tcPr>
            <w:tcW w:type="dxa" w:w="3312"/>
          </w:tcPr>
          <w:p>
            <w:r>
              <w:t>Fit LL.4 model</w:t>
            </w:r>
          </w:p>
        </w:tc>
        <w:tc>
          <w:tcPr>
            <w:tcW w:type="dxa" w:w="3312"/>
          </w:tcPr>
          <w:p>
            <w:r>
              <w:t>Understand model parameters and inspect estimates.</w:t>
            </w:r>
          </w:p>
        </w:tc>
      </w:tr>
      <w:tr>
        <w:tc>
          <w:tcPr>
            <w:tcW w:type="dxa" w:w="3312"/>
          </w:tcPr>
          <w:p>
            <w:r>
              <w:t>60–75 min</w:t>
            </w:r>
          </w:p>
        </w:tc>
        <w:tc>
          <w:tcPr>
            <w:tcW w:type="dxa" w:w="3312"/>
          </w:tcPr>
          <w:p>
            <w:r>
              <w:t>Estimate EC values and compare potency</w:t>
            </w:r>
          </w:p>
        </w:tc>
        <w:tc>
          <w:tcPr>
            <w:tcW w:type="dxa" w:w="3312"/>
          </w:tcPr>
          <w:p>
            <w:r>
              <w:t>Translate output into pharmacological interpretation.</w:t>
            </w:r>
          </w:p>
        </w:tc>
      </w:tr>
      <w:tr>
        <w:tc>
          <w:tcPr>
            <w:tcW w:type="dxa" w:w="3312"/>
          </w:tcPr>
          <w:p>
            <w:r>
              <w:t>75–90 min</w:t>
            </w:r>
          </w:p>
        </w:tc>
        <w:tc>
          <w:tcPr>
            <w:tcW w:type="dxa" w:w="3312"/>
          </w:tcPr>
          <w:p>
            <w:r>
              <w:t>Diagnostics and exports</w:t>
            </w:r>
          </w:p>
        </w:tc>
        <w:tc>
          <w:tcPr>
            <w:tcW w:type="dxa" w:w="3312"/>
          </w:tcPr>
          <w:p>
            <w:r>
              <w:t>Evaluate fit and locate saved outputs.</w:t>
            </w:r>
          </w:p>
        </w:tc>
      </w:tr>
      <w:tr>
        <w:tc>
          <w:tcPr>
            <w:tcW w:type="dxa" w:w="3312"/>
          </w:tcPr>
          <w:p>
            <w:r>
              <w:t>90–120 min</w:t>
            </w:r>
          </w:p>
        </w:tc>
        <w:tc>
          <w:tcPr>
            <w:tcW w:type="dxa" w:w="3312"/>
          </w:tcPr>
          <w:p>
            <w:r>
              <w:t>Exercises and discussion</w:t>
            </w:r>
          </w:p>
        </w:tc>
        <w:tc>
          <w:tcPr>
            <w:tcW w:type="dxa" w:w="3312"/>
          </w:tcPr>
          <w:p>
            <w:r>
              <w:t>Test understanding and connect to real experiments.</w:t>
            </w:r>
          </w:p>
        </w:tc>
      </w:tr>
    </w:tbl>
    <w:p>
      <w:pPr>
        <w:pStyle w:val="Heading1"/>
      </w:pPr>
      <w:r>
        <w:t>5. Scientific concepts and justification</w:t>
      </w:r>
    </w:p>
    <w:p>
      <w:r>
        <w:rPr>
          <w:b/>
        </w:rPr>
        <w:t xml:space="preserve">Concentration–response relationship: </w:t>
      </w:r>
      <w:r>
        <w:t>At low concentrations, response may be small; it often rises more steeply through an intermediate range and approaches a plateau at high concentrations. Sampling all three regions improves estimation of the lower asymptote, slope, upper asymptote and midpoint.</w:t>
      </w:r>
    </w:p>
    <w:p>
      <w:r>
        <w:rPr>
          <w:b/>
        </w:rPr>
        <w:t xml:space="preserve">EC50: </w:t>
      </w:r>
      <w:r>
        <w:t>In this model, EC50 is the concentration at the midpoint of the fitted response range. It is a measure of potency for a defined endpoint and set of conditions. It is not automatically the concentration producing an absolute response of 50 units.</w:t>
      </w:r>
    </w:p>
    <w:p>
      <w:r>
        <w:rPr>
          <w:b/>
        </w:rPr>
        <w:t xml:space="preserve">IC50: </w:t>
      </w:r>
      <w:r>
        <w:t>IC50 is used for inhibitory assays and depends on how inhibition is defined and calculated. It should not automatically be treated as interchangeable with a stimulatory EC50.</w:t>
      </w:r>
    </w:p>
    <w:p>
      <w:r>
        <w:rPr>
          <w:b/>
        </w:rPr>
        <w:t xml:space="preserve">Emax and efficacy: </w:t>
      </w:r>
      <w:r>
        <w:t>Emax is the model-predicted maximum response. Efficacy describes the maximum effect a drug can produce in the experimental system. A lower EC50 does not imply a higher Emax.</w:t>
      </w:r>
    </w:p>
    <w:p>
      <w:r>
        <w:rPr>
          <w:b/>
        </w:rPr>
        <w:t xml:space="preserve">Four-parameter log-logistic model: </w:t>
      </w:r>
      <w:r>
        <w:t>LL.4() estimates the slope, lower asymptote, upper asymptote and midpoint. It is a useful starting model for sigmoidal responses, but its suitability should be checked against the data and experimental design.</w:t>
      </w:r>
    </w:p>
    <w:p>
      <w:r>
        <w:rPr>
          <w:b/>
        </w:rPr>
        <w:t xml:space="preserve">Confidence intervals: </w:t>
      </w:r>
      <w:r>
        <w:t>A point estimate alone does not show precision. Confidence intervals help communicate uncertainty; poor coverage of the curve plateaus or high variability can make estimates imprecise.</w:t>
      </w:r>
    </w:p>
    <w:p>
      <w:r>
        <w:rPr>
          <w:b/>
        </w:rPr>
        <w:t xml:space="preserve">Replication: </w:t>
      </w:r>
      <w:r>
        <w:t>Repeated technical wells may quantify assay variation but are not automatically independent biological replicates. The experimental unit must be identified before deciding how to analyse the data.</w:t>
      </w:r>
    </w:p>
    <w:p>
      <w:pPr>
        <w:pStyle w:val="Heading1"/>
      </w:pPr>
      <w:r>
        <w:t>6. Walk-through of the R script</w:t>
      </w:r>
    </w:p>
    <w:p>
      <w:r>
        <w:rPr>
          <w:b/>
        </w:rPr>
        <w:t xml:space="preserve">Section 0 — R setup. </w:t>
      </w:r>
      <w:r>
        <w:t>getwd() shows the current working directory. Files written by write.csv(), ggsave() and other commands will normally be saved there unless a full path is supplied.</w:t>
      </w:r>
    </w:p>
    <w:p>
      <w:r>
        <w:rPr>
          <w:b/>
        </w:rPr>
        <w:t xml:space="preserve">Section 1 — Packages. </w:t>
      </w:r>
      <w:r>
        <w:t>install.packages() downloads packages; library() loads them into the current session. Installation is usually a one-time setup step, while loading is needed in each new session.</w:t>
      </w:r>
    </w:p>
    <w:p>
      <w:r>
        <w:rPr>
          <w:b/>
        </w:rPr>
        <w:t xml:space="preserve">Section 2 — Simulated dataset. </w:t>
      </w:r>
      <w:r>
        <w:t>set.seed(123) makes the random component reproducible. expand.grid() builds combinations of concentrations, replicates and drugs. The simulated response is an increasing sigmoidal pattern plus random noise.</w:t>
      </w:r>
    </w:p>
    <w:p>
      <w:r>
        <w:rPr>
          <w:b/>
        </w:rPr>
        <w:t xml:space="preserve">Section 3 — Data checks. </w:t>
      </w:r>
      <w:r>
        <w:t>Check missing values, ranges, labels and positive concentrations. The logarithm of zero is undefined, so zero-dose controls are not directly included in this positive-concentration LL.4 fit.</w:t>
      </w:r>
    </w:p>
    <w:p>
      <w:r>
        <w:rPr>
          <w:b/>
        </w:rPr>
        <w:t xml:space="preserve">Section 4 — Plotting. </w:t>
      </w:r>
      <w:r>
        <w:t>Individual points display replicate variation. A log-scaled x-axis is useful when concentrations span several orders of magnitude; the response values themselves are not log-transformed.</w:t>
      </w:r>
    </w:p>
    <w:p>
      <w:r>
        <w:rPr>
          <w:b/>
        </w:rPr>
        <w:t xml:space="preserve">Section 5 — Model fitting. </w:t>
      </w:r>
      <w:r>
        <w:t>drm() fits the model and curveid = drug fits a separate curve for each drug. LL.4() selects the four-parameter log-logistic function. summary(model) displays estimates and standard errors.</w:t>
      </w:r>
    </w:p>
    <w:p>
      <w:r>
        <w:rPr>
          <w:b/>
        </w:rPr>
        <w:t xml:space="preserve">Section 6 — Fitted curves. </w:t>
      </w:r>
      <w:r>
        <w:t>Compare the observed points with the fitted curves. Systematic deviations may suggest an unsuitable model, outliers, a poorly covered concentration range or other experimental issues.</w:t>
      </w:r>
    </w:p>
    <w:p>
      <w:r>
        <w:rPr>
          <w:b/>
        </w:rPr>
        <w:t xml:space="preserve">Section 7 — Effective concentrations. </w:t>
      </w:r>
      <w:r>
        <w:t>ED() estimates relative EC10, EC50 and EC90 and confidence intervals. Relative levels refer to percentages of each fitted curve's own response range.</w:t>
      </w:r>
    </w:p>
    <w:p>
      <w:r>
        <w:rPr>
          <w:b/>
        </w:rPr>
        <w:t xml:space="preserve">Section 8 — Relative potency. </w:t>
      </w:r>
      <w:r>
        <w:t>EDcomp() compares effective concentrations. Read the ratio label carefully to identify its numerator and denominator before stating which drug is more potent.</w:t>
      </w:r>
    </w:p>
    <w:p>
      <w:r>
        <w:rPr>
          <w:b/>
        </w:rPr>
        <w:t xml:space="preserve">Section 9 — Residuals. </w:t>
      </w:r>
      <w:r>
        <w:t>Residuals are observed minus fitted values. Random scatter around zero is reassuring, while clear patterns can flag model misfit. A residual plot alone cannot prove all assumptions are satisfied.</w:t>
      </w:r>
    </w:p>
    <w:p>
      <w:r>
        <w:rPr>
          <w:b/>
        </w:rPr>
        <w:t xml:space="preserve">Section 10 — Exports. </w:t>
      </w:r>
      <w:r>
        <w:t>The script saves the simulated dataset, analysis data, graph images and text summaries to the working directory. list.files(pattern = "^DRC_") lists generated files.</w:t>
      </w:r>
    </w:p>
    <w:p>
      <w:pPr>
        <w:pStyle w:val="Heading1"/>
      </w:pPr>
      <w:r>
        <w:t>7. Common errors and troubleshooting</w:t>
      </w:r>
    </w:p>
    <w:p>
      <w:r>
        <w:rPr>
          <w:b/>
        </w:rPr>
        <w:t xml:space="preserve">Error: there is no package called 'drc' or 'ggplot2'. </w:t>
      </w:r>
      <w:r>
        <w:t>Run install.packages(c("drc", "ggplot2")) in the Console with internet access, then retry library().</w:t>
      </w:r>
    </w:p>
    <w:p>
      <w:r>
        <w:rPr>
          <w:b/>
        </w:rPr>
        <w:t xml:space="preserve">Error: object not found. </w:t>
      </w:r>
      <w:r>
        <w:t>Run the script from the beginning or ensure the section creating that object has been executed.</w:t>
      </w:r>
    </w:p>
    <w:p>
      <w:r>
        <w:rPr>
          <w:b/>
        </w:rPr>
        <w:t xml:space="preserve">Error: non-positive values or logarithm-related problems. </w:t>
      </w:r>
      <w:r>
        <w:t>Check concentration values. Remove zero-dose controls from this particular positive-dose fit and analyse controls appropriately for the assay.</w:t>
      </w:r>
    </w:p>
    <w:p>
      <w:r>
        <w:rPr>
          <w:b/>
        </w:rPr>
        <w:t xml:space="preserve">Curve does not fit well or estimates are unstable. </w:t>
      </w:r>
      <w:r>
        <w:t>Check data entry, concentration range, plateaus, outliers, response definition and whether LL.4 is appropriate. Do not force a model simply because it is available.</w:t>
      </w:r>
    </w:p>
    <w:p>
      <w:r>
        <w:rPr>
          <w:b/>
        </w:rPr>
        <w:t xml:space="preserve">Confidence intervals are very wide. </w:t>
      </w:r>
      <w:r>
        <w:t>Consider whether the tested concentrations cover the lower plateau, transition region and upper plateau, and whether biological replication and assay precision are adequate.</w:t>
      </w:r>
    </w:p>
    <w:p>
      <w:r>
        <w:rPr>
          <w:b/>
        </w:rPr>
        <w:t xml:space="preserve">Saved files cannot be found. </w:t>
      </w:r>
      <w:r>
        <w:t>Run getwd() and list.files(). Use setwd() with an existing folder or write outputs using a full file path.</w:t>
      </w:r>
    </w:p>
    <w:p>
      <w:pPr>
        <w:pStyle w:val="Heading1"/>
      </w:pPr>
      <w:r>
        <w:t>8. Participant exercises</w:t>
      </w:r>
    </w:p>
    <w:p>
      <w:pPr>
        <w:pStyle w:val="ListNumber"/>
      </w:pPr>
      <w:r>
        <w:t>Change the simulated target EC50 for Drug B from 10 to 5. Before running the model, predict how the potency ratio should change.</w:t>
      </w:r>
    </w:p>
    <w:p>
      <w:pPr>
        <w:pStyle w:val="ListNumber"/>
      </w:pPr>
      <w:r>
        <w:t>Modify the data-generating process so Drug B has a lower maximum response than Drug A. Explain why potency and efficacy can lead to different conclusions.</w:t>
      </w:r>
    </w:p>
    <w:p>
      <w:pPr>
        <w:pStyle w:val="ListNumber"/>
      </w:pPr>
      <w:r>
        <w:t>Increase the random noise standard deviation from 3 to 10. Compare the graph, fitted curves and confidence intervals.</w:t>
      </w:r>
    </w:p>
    <w:p>
      <w:pPr>
        <w:pStyle w:val="ListNumber"/>
      </w:pPr>
      <w:r>
        <w:t>Remove the highest concentration and refit. Discuss how loss of upper-plateau information affects estimation.</w:t>
      </w:r>
    </w:p>
    <w:p>
      <w:pPr>
        <w:pStyle w:val="ListNumber"/>
      </w:pPr>
      <w:r>
        <w:t>Explain why three technical wells from one biological sample may not equal three independent biological replicates.</w:t>
      </w:r>
    </w:p>
    <w:p>
      <w:pPr>
        <w:pStyle w:val="ListNumber"/>
      </w:pPr>
      <w:r>
        <w:t>Write two sentences interpreting the actual EC50 estimates and confidence intervals printed by your run.</w:t>
      </w:r>
    </w:p>
    <w:p>
      <w:pPr>
        <w:pStyle w:val="Heading1"/>
      </w:pPr>
      <w:r>
        <w:t>9. Suggested result-reporting template</w:t>
      </w:r>
    </w:p>
    <w:p>
      <w:r>
        <w:t>Simulated concentration–response data for Drug A and Drug B were analysed using a four-parameter log-logistic model in the R package drc. The estimated relative EC50 was [estimate and units; 95% CI] for Drug A and [estimate and units; 95% CI] for Drug B. Relative potency was evaluated using EDcomp(), and the ratio was interpreted according to the comparison label. Model fit was assessed by inspecting observed data, fitted curves and residuals. These simulated results are for teaching and do not provide evidence about real drugs.</w:t>
      </w:r>
    </w:p>
    <w:p>
      <w:pPr>
        <w:pStyle w:val="Heading1"/>
      </w:pPr>
      <w:r>
        <w:t>10. Important cautions for real experimental data</w:t>
      </w:r>
    </w:p>
    <w:p>
      <w:pPr>
        <w:pStyle w:val="ListBullet"/>
      </w:pPr>
      <w:r>
        <w:t>Do not report the illustrative target EC50 values as fitted results.</w:t>
      </w:r>
    </w:p>
    <w:p>
      <w:pPr>
        <w:pStyle w:val="ListBullet"/>
      </w:pPr>
      <w:r>
        <w:t>Do not automatically clip real observations to 0–100; follow the assay definition and investigate unexpected values.</w:t>
      </w:r>
    </w:p>
    <w:p>
      <w:pPr>
        <w:pStyle w:val="ListBullet"/>
      </w:pPr>
      <w:r>
        <w:t>Use the correct concentration units and report them with estimates.</w:t>
      </w:r>
    </w:p>
    <w:p>
      <w:pPr>
        <w:pStyle w:val="ListBullet"/>
      </w:pPr>
      <w:r>
        <w:t>Relative EC50 values can be misleading to compare when response ranges or endpoints differ substantially.</w:t>
      </w:r>
    </w:p>
    <w:p>
      <w:pPr>
        <w:pStyle w:val="ListBullet"/>
      </w:pPr>
      <w:r>
        <w:t>A lower EC50 does not establish a greater maximum effect, safety, clinical superiority or a molecular mechanism.</w:t>
      </w:r>
    </w:p>
    <w:p>
      <w:pPr>
        <w:pStyle w:val="ListBullet"/>
      </w:pPr>
      <w:r>
        <w:t>Use biological replicates and a model appropriate to the design; do not treat all technical measurements as independent.</w:t>
      </w:r>
    </w:p>
    <w:p>
      <w:pPr>
        <w:pStyle w:val="ListBullet"/>
      </w:pPr>
      <w:r>
        <w:t>Record R and package versions for reproducibility if the analysis is used in a report or publication.</w:t>
      </w:r>
    </w:p>
    <w:p>
      <w:pPr>
        <w:pStyle w:val="Heading1"/>
      </w:pPr>
      <w:r>
        <w:t>11. Suggested reading</w:t>
      </w:r>
    </w:p>
    <w:p>
      <w:r>
        <w:t>Ritz C, Baty F, Streibig JC, Gerhard D. (2015). Dose-Response Analysis Using R. PLOS ONE, 10(12), e0146021. The uploaded teaching module also points participants to the drc documentation for LL.4(), ED() and EDcomp().</w:t>
      </w:r>
    </w:p>
    <w:p/>
    <w:p>
      <w:r>
        <w:rPr>
          <w:b/>
        </w:rPr>
        <w:t xml:space="preserve">Companion file: </w:t>
      </w:r>
      <w:r>
        <w:t>DRC_Dose_Response_Workshop.R — executable R commands with detailed inline comments.</w:t>
      </w:r>
    </w:p>
    <w:p>
      <w:r>
        <w:rPr>
          <w:b/>
        </w:rPr>
        <w:t xml:space="preserve">Instructor note: </w:t>
      </w:r>
      <w:r>
        <w:t>Run the complete script once before the workshop on the same computer setup that participants will use. Package behaviour and printed output can vary by version; participants should interpret the actual output rather than memorising a fixed numerical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