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B387" w14:textId="06140E27" w:rsidR="00045D6D" w:rsidRDefault="00045D6D" w:rsidP="004F1F13">
      <w:pPr>
        <w:pStyle w:val="Title"/>
      </w:pPr>
      <w:r>
        <w:t>Beechcraft Denali — 21-Day Demo Tour Strategy</w:t>
      </w:r>
    </w:p>
    <w:p w14:paraId="2EDF0B06" w14:textId="27A511DE" w:rsidR="00045D6D" w:rsidRDefault="00045D6D" w:rsidP="00045D6D">
      <w:pPr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</w:pPr>
      <w:r>
        <w:rPr>
          <w:rFonts w:eastAsiaTheme="majorEastAsia" w:cstheme="majorBidi"/>
          <w:b/>
          <w:bCs/>
          <w:color w:val="595959" w:themeColor="text1" w:themeTint="A6"/>
          <w:spacing w:val="15"/>
          <w:sz w:val="24"/>
          <w:szCs w:val="24"/>
        </w:rPr>
        <w:t>Team #:</w:t>
      </w:r>
      <w:r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t xml:space="preserve"> 12 | Domestic Zones 1–3 | Beechcraft Denali</w:t>
      </w:r>
      <w:r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br/>
      </w:r>
      <w:r>
        <w:rPr>
          <w:rFonts w:eastAsiaTheme="majorEastAsia" w:cstheme="majorBidi"/>
          <w:b/>
          <w:bCs/>
          <w:color w:val="595959" w:themeColor="text1" w:themeTint="A6"/>
          <w:spacing w:val="15"/>
          <w:sz w:val="24"/>
          <w:szCs w:val="24"/>
        </w:rPr>
        <w:t>Team Members:</w:t>
      </w:r>
      <w:r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t xml:space="preserve"> </w:t>
      </w:r>
      <w:r w:rsidR="005B24DB"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t>Sairam Bathini, Mark Babcock, Kolyn Grant, Lidiya Oldham</w:t>
      </w:r>
      <w:r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br/>
      </w:r>
      <w:r>
        <w:rPr>
          <w:rFonts w:eastAsiaTheme="majorEastAsia" w:cstheme="majorBidi"/>
          <w:b/>
          <w:bCs/>
          <w:color w:val="595959" w:themeColor="text1" w:themeTint="A6"/>
          <w:spacing w:val="15"/>
          <w:sz w:val="24"/>
          <w:szCs w:val="24"/>
        </w:rPr>
        <w:t>Team Coach / Company:</w:t>
      </w:r>
      <w:r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t xml:space="preserve"> </w:t>
      </w:r>
      <w:r w:rsidR="007E6EEE"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t xml:space="preserve">Ethan Garrett/ </w:t>
      </w:r>
      <w:proofErr w:type="spellStart"/>
      <w:r w:rsidR="007E6EEE"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t>Diamond</w:t>
      </w:r>
      <w:r w:rsidR="0022161D"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t>Back</w:t>
      </w:r>
      <w:proofErr w:type="spellEnd"/>
      <w:r w:rsidR="007E6EEE">
        <w:rPr>
          <w:rFonts w:eastAsiaTheme="majorEastAsia" w:cstheme="majorBidi"/>
          <w:color w:val="595959" w:themeColor="text1" w:themeTint="A6"/>
          <w:spacing w:val="15"/>
          <w:sz w:val="24"/>
          <w:szCs w:val="24"/>
        </w:rPr>
        <w:t xml:space="preserve"> Energy </w:t>
      </w:r>
    </w:p>
    <w:p w14:paraId="265239EC" w14:textId="77777777" w:rsidR="00045D6D" w:rsidRDefault="00045D6D" w:rsidP="004F1F13">
      <w:pPr>
        <w:pStyle w:val="Heading1"/>
      </w:pPr>
      <w:r>
        <w:t>1. Problem Statement &amp; Purpose</w:t>
      </w:r>
    </w:p>
    <w:p w14:paraId="3B84D964" w14:textId="77777777" w:rsidR="00045D6D" w:rsidRDefault="00045D6D">
      <w:pPr>
        <w:spacing w:after="60"/>
      </w:pPr>
      <w:r>
        <w:t>The Beechcraft Denali is Textron Aviation’s first single-engine turboprop (SET), entering a domestic market where Pilatus, Daher, and Piper collectively serve over 3,000 owners and the Denali has zero delivered units. Without a product in this category, Textron has been losing customers to competitors. The Denali fills a critical portfolio gap between Cessna pistons and the King Air line.</w:t>
      </w:r>
    </w:p>
    <w:p w14:paraId="3B84D965" w14:textId="77777777" w:rsidR="00045D6D" w:rsidRDefault="00045D6D">
      <w:pPr>
        <w:spacing w:after="60"/>
      </w:pPr>
      <w:r>
        <w:rPr>
          <w:b/>
          <w:bCs/>
        </w:rPr>
        <w:t>Objective:</w:t>
      </w:r>
      <w:r>
        <w:t xml:space="preserve"> Design a data-driven, operationally compliant 21-day demonstration tour across Domestic Zones 1–3 that maximizes exposure to the highest-value prospects. The tour must round-trip from Wichita (KICT), comply with single-pilot duty limits (14-hour max duty, 6 consecutive work days, 10/12-hour rest), and stay within the Denali’s 1,600 nm range.</w:t>
      </w:r>
    </w:p>
    <w:p w14:paraId="3B84D966" w14:textId="77777777" w:rsidR="00045D6D" w:rsidRDefault="00045D6D">
      <w:pPr>
        <w:spacing w:after="60"/>
      </w:pPr>
      <w:r>
        <w:rPr>
          <w:b/>
          <w:bCs/>
        </w:rPr>
        <w:t>Key Question:</w:t>
      </w:r>
      <w:r>
        <w:t xml:space="preserve"> Which airports, in what sequence, put the Denali in front of the most qualified buyers for the least cost—and who are those buyers?</w:t>
      </w:r>
    </w:p>
    <w:p w14:paraId="0C4CDD86" w14:textId="77777777" w:rsidR="00045D6D" w:rsidRDefault="00045D6D" w:rsidP="004F1F13">
      <w:pPr>
        <w:pStyle w:val="Heading1"/>
      </w:pPr>
      <w:r>
        <w:t>2. Data &amp; Analytical Approach</w:t>
      </w:r>
    </w:p>
    <w:p w14:paraId="3614191E" w14:textId="77777777" w:rsidR="00045D6D" w:rsidRDefault="00045D6D">
      <w:pPr>
        <w:spacing w:after="60"/>
      </w:pPr>
      <w:r>
        <w:rPr>
          <w:b/>
          <w:bCs/>
        </w:rPr>
        <w:t>Data Sources:</w:t>
      </w:r>
      <w:r>
        <w:t xml:space="preserve"> Integrated four datasets: 133,849 customer accounts, 86,311 aircraft ownership records, 37,553 airports, and 22 aircraft specifications. After filtering to Domestic Zones 1–3 and joining on Account_ID and airport codes, we produced a unified targeting dataset of 113,691 accounts with 18,428 confirmed aircraft owners.</w:t>
      </w:r>
    </w:p>
    <w:p w14:paraId="36141920" w14:textId="77777777" w:rsidR="00045D6D" w:rsidRDefault="00045D6D">
      <w:pPr>
        <w:spacing w:after="40"/>
      </w:pPr>
      <w:r>
        <w:rPr>
          <w:b/>
          <w:bCs/>
        </w:rPr>
        <w:t>Phase 1 — Account Scoring:</w:t>
      </w:r>
      <w:r>
        <w:t xml:space="preserve"> Built a multi-factor weighted scoring model incorporating fleet type (SET/HP piston/ME turboprop), competitor brand (Pilatus/Daher/Piper), fleet age, sales engagement, account classification, utilization, and cross-sell indicators. Segmented all accounts into 7 priority tiers from “A: Aging SET — Hot Lead” through “G: Other Aircraft Owner.”</w:t>
      </w:r>
    </w:p>
    <w:p w14:paraId="36141921" w14:textId="77777777" w:rsidR="00045D6D" w:rsidRDefault="00045D6D">
      <w:pPr>
        <w:spacing w:after="40"/>
      </w:pPr>
      <w:r>
        <w:rPr>
          <w:b/>
          <w:bCs/>
        </w:rPr>
        <w:lastRenderedPageBreak/>
        <w:t>Phase 2 — Airport Aggregation:</w:t>
      </w:r>
      <w:r>
        <w:t xml:space="preserve"> Rolled up account scores per airport, weighting Platinum accounts (10×), Gold (5×), and SET owners (4×). Deduplicated by metro area (30 nm radius). Identified 40 candidate airports across all three zones.</w:t>
      </w:r>
    </w:p>
    <w:p w14:paraId="36141922" w14:textId="77777777" w:rsidR="00045D6D" w:rsidRDefault="00045D6D">
      <w:pPr>
        <w:spacing w:after="40"/>
      </w:pPr>
      <w:r>
        <w:rPr>
          <w:b/>
          <w:bCs/>
        </w:rPr>
        <w:t>Phase 3 — Route Optimization:</w:t>
      </w:r>
      <w:r>
        <w:t xml:space="preserve"> Solved a Traveling Salesman Problem variant using nearest-neighbor heuristic improved with 2-opt edge swaps, then applied constraint-based scheduling: 14-hour max duty (including 1-hour pre/post-flight), 2.5-hour demo windows, mandatory rest after every 6 work days, and round-trip from Wichita.</w:t>
      </w:r>
    </w:p>
    <w:p w14:paraId="36141923" w14:textId="77777777" w:rsidR="00045D6D" w:rsidRDefault="00045D6D">
      <w:pPr>
        <w:spacing w:after="80"/>
      </w:pPr>
      <w:r>
        <w:rPr>
          <w:b/>
          <w:bCs/>
        </w:rPr>
        <w:t>Tools:</w:t>
      </w:r>
      <w:r>
        <w:t xml:space="preserve"> Python (pandas, geopy) for data integration and scoring; custom optimization algorithm for routing; Tableau for interactive dashboards.</w:t>
      </w:r>
    </w:p>
    <w:p w14:paraId="76C4A260" w14:textId="77777777" w:rsidR="00045D6D" w:rsidRDefault="00045D6D" w:rsidP="004F1F13">
      <w:pPr>
        <w:pStyle w:val="Heading1"/>
      </w:pPr>
      <w:r>
        <w:t>3. Key Findings &amp; Insights</w:t>
      </w:r>
    </w:p>
    <w:p w14:paraId="7BDB0B9C" w14:textId="77777777" w:rsidR="00045D6D" w:rsidRDefault="00045D6D">
      <w:pPr>
        <w:spacing w:after="40"/>
      </w:pPr>
      <w:r>
        <w:rPr>
          <w:b/>
          <w:bCs/>
        </w:rPr>
        <w:t>Finding 1 — Zero Market Share = Massive First-Mover Window.</w:t>
      </w:r>
      <w:r>
        <w:t xml:space="preserve"> Competitors dominate the domestic SET market: Pilatus leads with 40% of SET-owning accounts, followed by Piper at 32% and Daher at 28%. With 0 delivered Denali units and 19 on order, this demo tour is the ignition event for market entry.</w:t>
      </w:r>
    </w:p>
    <w:p w14:paraId="7BDB0B9D" w14:textId="77777777" w:rsidR="00045D6D" w:rsidRDefault="00045D6D">
      <w:pPr>
        <w:spacing w:after="40"/>
      </w:pPr>
      <w:r>
        <w:rPr>
          <w:b/>
          <w:bCs/>
        </w:rPr>
        <w:t>Finding 2 — Nearly Half of Competitor Fleets Are Ripe for Replacement.</w:t>
      </w:r>
      <w:r>
        <w:t xml:space="preserve"> 1,466 competitor SET aircraft (46%) exceed 15 years old. Piper’s fleet is most vulnerable—56% are over 15 years. These owners face rising maintenance costs and are in their natural replacement cycle.</w:t>
      </w:r>
    </w:p>
    <w:p w14:paraId="7BDB0B9E" w14:textId="77777777" w:rsidR="00045D6D" w:rsidRDefault="00045D6D">
      <w:pPr>
        <w:spacing w:after="40"/>
      </w:pPr>
      <w:r>
        <w:rPr>
          <w:b/>
          <w:bCs/>
        </w:rPr>
        <w:t>Finding 3 — The Denali’s Cost Advantage Is Structural.</w:t>
      </w:r>
      <w:r>
        <w:t xml:space="preserve"> At $755/hr, the Denali operates $283/hr cheaper than the PC-12 ($1,038/hr) and $616/hr cheaper than the King Air 260 ($1,371/hr). At 500 hrs/yr, owners save $141,500 annually vs. the PC-12—totaling $707,500 over five years, more than offsetting the Denali’s $595K price premium.</w:t>
      </w:r>
    </w:p>
    <w:p w14:paraId="7BDB0B9F" w14:textId="77777777" w:rsidR="00045D6D" w:rsidRDefault="00045D6D">
      <w:pPr>
        <w:spacing w:after="40"/>
      </w:pPr>
      <w:r>
        <w:rPr>
          <w:b/>
          <w:bCs/>
        </w:rPr>
        <w:t>Finding 4 — 287 Existing Textron Customers Own Competitor SETs.</w:t>
      </w:r>
      <w:r>
        <w:t xml:space="preserve"> These accounts already trust the brand and have sales relationships—they are the lowest-friction conversion targets. Additionally, 547 accounts recently sold a SET, meaning they are actively in the market. Critically, 227 current SET owners have never been contacted by Textron sales—the demo tour reaches them for the first time.</w:t>
      </w:r>
    </w:p>
    <w:p w14:paraId="7BDB0BA0" w14:textId="68D12158" w:rsidR="00045D6D" w:rsidRDefault="00045D6D">
      <w:pPr>
        <w:spacing w:after="60"/>
      </w:pPr>
      <w:r>
        <w:rPr>
          <w:b/>
          <w:bCs/>
        </w:rPr>
        <w:t>Finding 5 — Optimized Tour Reaches 3,372 Prospects for $40,724.</w:t>
      </w:r>
      <w:r>
        <w:t xml:space="preserve"> </w:t>
      </w:r>
      <w:r w:rsidR="0076612C" w:rsidRPr="0076612C">
        <w:t xml:space="preserve">Our 40-stop tour across all three zones reaches 3,372 prospects including 445 competitor turboprop owners across 18 </w:t>
      </w:r>
      <w:proofErr w:type="gramStart"/>
      <w:r w:rsidR="0076612C" w:rsidRPr="0076612C">
        <w:t>work days</w:t>
      </w:r>
      <w:proofErr w:type="gramEnd"/>
      <w:r w:rsidR="0076612C" w:rsidRPr="0076612C">
        <w:t xml:space="preserve"> and 3 mandatory rest days within a 21-day window. Every duty day is under 14 hours, rest periods are fully compliant, and the tour </w:t>
      </w:r>
      <w:proofErr w:type="gramStart"/>
      <w:r w:rsidR="0076612C" w:rsidRPr="0076612C">
        <w:t>round-trips</w:t>
      </w:r>
      <w:proofErr w:type="gramEnd"/>
      <w:r w:rsidR="0076612C" w:rsidRPr="0076612C">
        <w:t xml:space="preserve"> from Wichita. Total cost of $40,724 equals 0.51% of one Denali sale</w:t>
      </w:r>
      <w:r>
        <w:t>.</w:t>
      </w:r>
    </w:p>
    <w:p w14:paraId="76C4A261" w14:textId="77777777" w:rsidR="00045D6D" w:rsidRDefault="00045D6D" w:rsidP="004F1F13">
      <w:pPr>
        <w:pStyle w:val="Heading1"/>
      </w:pPr>
      <w:r>
        <w:lastRenderedPageBreak/>
        <w:t>4. Recommendations &amp; Business Impact</w:t>
      </w:r>
    </w:p>
    <w:p w14:paraId="7096270D" w14:textId="77777777" w:rsidR="00045D6D" w:rsidRDefault="00045D6D">
      <w:pPr>
        <w:spacing w:after="40"/>
      </w:pPr>
      <w:r>
        <w:rPr>
          <w:b/>
          <w:bCs/>
          <w:color w:val="2E74B5"/>
        </w:rPr>
        <w:t>Pre-Tour Actions</w:t>
      </w:r>
    </w:p>
    <w:p w14:paraId="7096270E" w14:textId="77777777" w:rsidR="00045D6D" w:rsidRDefault="00045D6D">
      <w:pPr>
        <w:spacing w:after="30"/>
      </w:pPr>
      <w:r>
        <w:rPr>
          <w:b/>
          <w:bCs/>
        </w:rPr>
        <w:t>1. Pre-schedule demos with 287 cross-sell accounts.</w:t>
      </w:r>
      <w:r>
        <w:t xml:space="preserve"> Existing Textron customers who own competitor SETs are the warmest leads. Confirm appointments 2 weeks ahead to maximize attendance at each stop.</w:t>
      </w:r>
    </w:p>
    <w:p w14:paraId="7096270F" w14:textId="77777777" w:rsidR="00045D6D" w:rsidRDefault="00045D6D">
      <w:pPr>
        <w:spacing w:after="30"/>
      </w:pPr>
      <w:r>
        <w:rPr>
          <w:b/>
          <w:bCs/>
        </w:rPr>
        <w:t>2. Prepare prospect-specific cost comparison sheets.</w:t>
      </w:r>
      <w:r>
        <w:t xml:space="preserve"> PC-12 owners see $707,500 in 5-year savings; King Air owners see $1.54M. Make the math personal.</w:t>
      </w:r>
    </w:p>
    <w:p w14:paraId="70962710" w14:textId="77777777" w:rsidR="00045D6D" w:rsidRDefault="00045D6D">
      <w:pPr>
        <w:spacing w:before="120" w:after="40"/>
      </w:pPr>
      <w:r>
        <w:rPr>
          <w:b/>
          <w:bCs/>
          <w:color w:val="2E74B5"/>
        </w:rPr>
        <w:t>During Tour</w:t>
      </w:r>
    </w:p>
    <w:p w14:paraId="70962711" w14:textId="7DA669FC" w:rsidR="00045D6D" w:rsidRPr="0076612C" w:rsidRDefault="00045D6D">
      <w:pPr>
        <w:spacing w:after="30"/>
        <w:rPr>
          <w:lang w:val="en-IN"/>
        </w:rPr>
      </w:pPr>
      <w:r>
        <w:rPr>
          <w:b/>
          <w:bCs/>
        </w:rPr>
        <w:t>3. Execute the 40-airport optimized route with 5 buffer days.</w:t>
      </w:r>
      <w:r>
        <w:t xml:space="preserve"> </w:t>
      </w:r>
      <w:r w:rsidR="0076612C" w:rsidRPr="0076612C">
        <w:rPr>
          <w:lang w:val="en-IN"/>
        </w:rPr>
        <w:t xml:space="preserve">Execute the 40-airport optimized route across 18 </w:t>
      </w:r>
      <w:proofErr w:type="gramStart"/>
      <w:r w:rsidR="0076612C" w:rsidRPr="0076612C">
        <w:rPr>
          <w:lang w:val="en-IN"/>
        </w:rPr>
        <w:t>work days</w:t>
      </w:r>
      <w:proofErr w:type="gramEnd"/>
      <w:r w:rsidR="0076612C" w:rsidRPr="0076612C">
        <w:rPr>
          <w:lang w:val="en-IN"/>
        </w:rPr>
        <w:t xml:space="preserve"> and 3 mandatory rest days. Each 2.5-hour stop serves multiple prospects through demo flights (2–4 flights, seating 2–4 decision-makers each) and static aircraft tours. Lead every demo with the $283/hr cost advantage</w:t>
      </w:r>
      <w:r>
        <w:t>.</w:t>
      </w:r>
    </w:p>
    <w:p w14:paraId="70962712" w14:textId="77777777" w:rsidR="00045D6D" w:rsidRDefault="00045D6D">
      <w:pPr>
        <w:spacing w:after="30"/>
      </w:pPr>
      <w:r>
        <w:rPr>
          <w:b/>
          <w:bCs/>
        </w:rPr>
        <w:t>4. Tailor the pitch to each segment:</w:t>
      </w:r>
      <w:r>
        <w:t xml:space="preserve"> 83% of target SET owners are Owner Operators—they fly the aircraft and write the check, enabling shorter sales cycles. Aging SET owners (1,204 accounts): “Replace your aging fleet with lower costs.” HP piston owners (2,098): “Step up to turboprop capability.” King Air owners (2,413): “Save $616/hr with single-engine economics.”</w:t>
      </w:r>
    </w:p>
    <w:p w14:paraId="70962713" w14:textId="77777777" w:rsidR="00045D6D" w:rsidRDefault="00045D6D">
      <w:pPr>
        <w:spacing w:before="120" w:after="40"/>
      </w:pPr>
      <w:r>
        <w:rPr>
          <w:b/>
          <w:bCs/>
          <w:color w:val="2E74B5"/>
        </w:rPr>
        <w:t>Post-Tour &amp; Long-Term</w:t>
      </w:r>
    </w:p>
    <w:p w14:paraId="70962714" w14:textId="77777777" w:rsidR="00045D6D" w:rsidRDefault="00045D6D">
      <w:pPr>
        <w:spacing w:after="30"/>
      </w:pPr>
      <w:r>
        <w:rPr>
          <w:b/>
          <w:bCs/>
        </w:rPr>
        <w:t>5. Follow up within 48 hours</w:t>
      </w:r>
      <w:r>
        <w:t xml:space="preserve"> with personalized operating cost analyses. Launch a “King Air to Denali” trade-up program targeting 2,413 aging King Air accounts with guaranteed trade-in values.</w:t>
      </w:r>
    </w:p>
    <w:p w14:paraId="70962715" w14:textId="77777777" w:rsidR="00045D6D" w:rsidRDefault="00045D6D">
      <w:pPr>
        <w:spacing w:after="30"/>
      </w:pPr>
      <w:r>
        <w:rPr>
          <w:b/>
          <w:bCs/>
        </w:rPr>
        <w:t>6. Direct-market to 1,466 aging SET owners not on the tour route.</w:t>
      </w:r>
      <w:r>
        <w:t xml:space="preserve"> Enrich the 76% of CRM accounts missing airport data to expand future tour coverage. Repeat tour quarterly, rotating airport clusters.</w:t>
      </w:r>
    </w:p>
    <w:p w14:paraId="70962716" w14:textId="77777777" w:rsidR="00045D6D" w:rsidRDefault="00045D6D">
      <w:pPr>
        <w:spacing w:before="120" w:after="40"/>
      </w:pPr>
      <w:r>
        <w:rPr>
          <w:b/>
          <w:bCs/>
          <w:color w:val="2E74B5"/>
        </w:rPr>
        <w:t>Business Impact</w:t>
      </w:r>
    </w:p>
    <w:p w14:paraId="70962717" w14:textId="77777777" w:rsidR="00045D6D" w:rsidRDefault="00045D6D">
      <w:pPr>
        <w:spacing w:after="30"/>
      </w:pPr>
      <w:r>
        <w:t>The tour costs $40,724—0.51% of a single $7.995M Denali sale. Even one conversion yields a 19,533% ROI. At a conservative 0.5% conversion rate, the tour generates 5 sales worth $40M in revenue. Cost per demo stop: $1,018. Cost per competitor SET owner reached: $92. By comparison, a single trade show booth exceeds $50,000 and reaches fewer qualified buyers. This is among the highest-ROI activities in Textron’s sales toolkit.</w:t>
      </w:r>
    </w:p>
    <w:p w14:paraId="70962718" w14:textId="77777777" w:rsidR="00045D6D" w:rsidRDefault="00045D6D">
      <w:pPr>
        <w:spacing w:before="120" w:after="40"/>
      </w:pPr>
      <w:r>
        <w:rPr>
          <w:b/>
          <w:bCs/>
          <w:color w:val="2E74B5"/>
        </w:rPr>
        <w:t>Risks &amp; Limitations</w:t>
      </w:r>
    </w:p>
    <w:p w14:paraId="70962719" w14:textId="1CBD1D51" w:rsidR="00045D6D" w:rsidRDefault="0076612C">
      <w:pPr>
        <w:spacing w:after="60"/>
      </w:pPr>
      <w:r w:rsidRPr="0076612C">
        <w:t>Weather delays mitigated by scheduling flexibility across 18 operational days. Low attendance risk addressed by pre-qualifying 2 weeks ahead</w:t>
      </w:r>
      <w:r w:rsidR="00045D6D">
        <w:t>.</w:t>
      </w:r>
    </w:p>
    <w:sectPr w:rsidR="00045D6D" w:rsidSect="001643A9">
      <w:headerReference w:type="default" r:id="rId6"/>
      <w:footerReference w:type="default" r:id="rId7"/>
      <w:pgSz w:w="12240" w:h="15840"/>
      <w:pgMar w:top="3060" w:right="1440" w:bottom="1440" w:left="1440" w:header="8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4D1CD" w14:textId="77777777" w:rsidR="009D022C" w:rsidRDefault="009D022C" w:rsidP="007F4F67">
      <w:pPr>
        <w:spacing w:after="0" w:line="240" w:lineRule="auto"/>
      </w:pPr>
      <w:r>
        <w:separator/>
      </w:r>
    </w:p>
  </w:endnote>
  <w:endnote w:type="continuationSeparator" w:id="0">
    <w:p w14:paraId="3C5BFA11" w14:textId="77777777" w:rsidR="009D022C" w:rsidRDefault="009D022C" w:rsidP="007F4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D47C7" w14:paraId="4E00EB0E" w14:textId="77777777" w:rsidTr="00250ABC">
      <w:trPr>
        <w:trHeight w:val="300"/>
      </w:trPr>
      <w:tc>
        <w:tcPr>
          <w:tcW w:w="3120" w:type="dxa"/>
        </w:tcPr>
        <w:p w14:paraId="0FA72E1B" w14:textId="77777777" w:rsidR="002D47C7" w:rsidRDefault="002D47C7" w:rsidP="002D47C7">
          <w:pPr>
            <w:pStyle w:val="Header"/>
            <w:ind w:left="-115"/>
          </w:pPr>
        </w:p>
      </w:tc>
      <w:tc>
        <w:tcPr>
          <w:tcW w:w="3120" w:type="dxa"/>
        </w:tcPr>
        <w:p w14:paraId="1BA08266" w14:textId="77777777" w:rsidR="002D47C7" w:rsidRDefault="002D47C7" w:rsidP="002D47C7">
          <w:pPr>
            <w:pStyle w:val="Header"/>
            <w:jc w:val="center"/>
          </w:pPr>
        </w:p>
      </w:tc>
      <w:tc>
        <w:tcPr>
          <w:tcW w:w="3120" w:type="dxa"/>
        </w:tcPr>
        <w:p w14:paraId="77B74C8E" w14:textId="77777777" w:rsidR="002D47C7" w:rsidRDefault="002D47C7" w:rsidP="002D47C7">
          <w:pPr>
            <w:pStyle w:val="Header"/>
            <w:ind w:right="-115"/>
            <w:jc w:val="right"/>
          </w:pPr>
        </w:p>
      </w:tc>
    </w:tr>
  </w:tbl>
  <w:p w14:paraId="14466183" w14:textId="77777777" w:rsidR="002D47C7" w:rsidRPr="00940110" w:rsidRDefault="002D47C7" w:rsidP="002D47C7">
    <w:pPr>
      <w:pStyle w:val="Subtitle"/>
      <w:tabs>
        <w:tab w:val="left" w:pos="765"/>
        <w:tab w:val="center" w:pos="4680"/>
      </w:tabs>
      <w:rPr>
        <w:color w:val="000000" w:themeColor="text1"/>
        <w:sz w:val="32"/>
        <w:szCs w:val="32"/>
      </w:rPr>
    </w:pPr>
    <w:r>
      <w:rPr>
        <w:color w:val="000000" w:themeColor="text1"/>
        <w:sz w:val="32"/>
        <w:szCs w:val="32"/>
      </w:rPr>
      <w:tab/>
    </w:r>
    <w:r>
      <w:rPr>
        <w:color w:val="000000" w:themeColor="text1"/>
        <w:sz w:val="32"/>
        <w:szCs w:val="32"/>
      </w:rPr>
      <w:tab/>
    </w:r>
    <w:r>
      <w:rPr>
        <w:noProof/>
        <w:color w:val="000000" w:themeColor="text1"/>
        <w:sz w:val="32"/>
        <w:szCs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8568CF" wp14:editId="64129FD8">
              <wp:simplePos x="0" y="0"/>
              <wp:positionH relativeFrom="column">
                <wp:posOffset>-276225</wp:posOffset>
              </wp:positionH>
              <wp:positionV relativeFrom="paragraph">
                <wp:posOffset>-49530</wp:posOffset>
              </wp:positionV>
              <wp:extent cx="6400800" cy="0"/>
              <wp:effectExtent l="0" t="0" r="0" b="0"/>
              <wp:wrapNone/>
              <wp:docPr id="14962865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B342CE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-3.9pt" to="482.25pt,-3.9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tY8/ogEAAJkDAAAOAAAAZHJzL2Uyb0RvYy54bWysU02PEzEMvSPxH6LcadIVrJZRp3vYFVwQ rID9AdmM04nIl5zQmf57nLSdrgAhhLh4ktjv2c/2bG5n79geMNsYer5eSc4g6DjYsOv549d3r244 y0WFQbkYoOcHyPx2+/LFZkodXMUxugGQEUnI3ZR6PpaSOiGyHsGrvIoJAjlNRK8KXXEnBlQTsXsn rqS8FlPEIWHUkDO93h+dfNv4jQFdPhmToTDXc6qtNIvNPlUrthvV7VCl0epTGeofqvDKBkq6UN2r oth3tL9Qeasx5mjKSkcvojFWQ9NAatbyJzVfRpWgaaHm5LS0Kf8/Wv1xfxcekNowpdzl9IBVxWzQ 1y/Vx+bWrMPSLJgL0/R4/VrKG0k91WefuAAT5vIeomf10HNnQ9WhOrX/kAslo9BzSH12gU20PW/l mzYRcamlncrBwTHsMxhmB8q+bnRtTeDOIdsrGvDwbV0HSuQuUGSFGOvcApJ/Bp1iKwza6vwtcIlu GWMoC9DbEPF3Wct8LtUc46nsZ1rr8SkOhzaZ5qD5N2WnXa0L9vze4Jc/avsDAAD//wMAUEsDBBQA BgAIAAAAIQCY63Sk3gAAAAkBAAAPAAAAZHJzL2Rvd25yZXYueG1sTI9BS8NAEIXvgv9hGcGLtBs1 aWvMpojgIYKCrfQ8TaZJNDsbsts0/ntHPOht5s3jzfey9WQ7NdLgW8cGrucRKOLSVS3XBt63T7MV KB+QK+wck4Ev8rDOz88yTCt34jcaN6FWEsI+RQNNCH2qtS8bsujnrieW28ENFoOsQ62rAU8Sbjt9 E0ULbbFl+dBgT48NlZ+bozXwUeyKOrlatofXOHnG7Zi88FgYc3kxPdyDCjSFPzP84As65MK0d0eu vOoMzOLbRKwyLKWCGO4WsQj7X0Hnmf7fIP8GAAD//wMAUEsBAi0AFAAGAAgAAAAhALaDOJL+AAAA 4QEAABMAAAAAAAAAAAAAAAAAAAAAAFtDb250ZW50X1R5cGVzXS54bWxQSwECLQAUAAYACAAAACEA OP0h/9YAAACUAQAACwAAAAAAAAAAAAAAAAAvAQAAX3JlbHMvLnJlbHNQSwECLQAUAAYACAAAACEA TrWPP6IBAACZAwAADgAAAAAAAAAAAAAAAAAuAgAAZHJzL2Uyb0RvYy54bWxQSwECLQAUAAYACAAA ACEAmOt0pN4AAAAJAQAADwAAAAAAAAAAAAAAAAD8AwAAZHJzL2Rvd25yZXYueG1sUEsFBgAAAAAE AAQA8wAAAAcFAAAAAA== " strokecolor="black [3200]" strokeweight="1.5pt">
              <v:stroke joinstyle="miter"/>
            </v:line>
          </w:pict>
        </mc:Fallback>
      </mc:AlternateContent>
    </w:r>
    <w:r w:rsidRPr="00940110">
      <w:rPr>
        <w:noProof/>
        <w:color w:val="000000" w:themeColor="text1"/>
        <w:sz w:val="32"/>
        <w:szCs w:val="32"/>
      </w:rPr>
      <w:drawing>
        <wp:anchor distT="0" distB="0" distL="114300" distR="114300" simplePos="0" relativeHeight="251659264" behindDoc="0" locked="0" layoutInCell="1" allowOverlap="1" wp14:anchorId="398B08B8" wp14:editId="25DA6039">
          <wp:simplePos x="0" y="0"/>
          <wp:positionH relativeFrom="column">
            <wp:posOffset>3713480</wp:posOffset>
          </wp:positionH>
          <wp:positionV relativeFrom="paragraph">
            <wp:posOffset>501015</wp:posOffset>
          </wp:positionV>
          <wp:extent cx="1065530" cy="250190"/>
          <wp:effectExtent l="0" t="0" r="1270" b="0"/>
          <wp:wrapSquare wrapText="bothSides"/>
          <wp:docPr id="1867316008" name="Picture 4" descr="A red triangle on a black background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8607074" name="Picture 4" descr="A red triangle on a black background  AI-generated content may be incorrect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530" cy="250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0110">
      <w:rPr>
        <w:noProof/>
        <w:color w:val="000000" w:themeColor="text1"/>
        <w:sz w:val="32"/>
        <w:szCs w:val="32"/>
      </w:rPr>
      <w:drawing>
        <wp:anchor distT="0" distB="0" distL="114300" distR="114300" simplePos="0" relativeHeight="251660288" behindDoc="0" locked="0" layoutInCell="1" allowOverlap="1" wp14:anchorId="45AA3B54" wp14:editId="2EB2F071">
          <wp:simplePos x="0" y="0"/>
          <wp:positionH relativeFrom="column">
            <wp:posOffset>1464945</wp:posOffset>
          </wp:positionH>
          <wp:positionV relativeFrom="paragraph">
            <wp:posOffset>519430</wp:posOffset>
          </wp:positionV>
          <wp:extent cx="1185545" cy="278765"/>
          <wp:effectExtent l="0" t="0" r="0" b="6985"/>
          <wp:wrapSquare wrapText="bothSides"/>
          <wp:docPr id="2041027939" name="Picture 3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3757159" name="Picture 3" descr="A blue and white logo  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5545" cy="27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0110">
      <w:rPr>
        <w:noProof/>
        <w:color w:val="000000" w:themeColor="text1"/>
        <w:sz w:val="32"/>
        <w:szCs w:val="32"/>
      </w:rPr>
      <w:drawing>
        <wp:anchor distT="0" distB="0" distL="114300" distR="114300" simplePos="0" relativeHeight="251661312" behindDoc="0" locked="0" layoutInCell="1" allowOverlap="1" wp14:anchorId="21BEDA3F" wp14:editId="31C76965">
          <wp:simplePos x="0" y="0"/>
          <wp:positionH relativeFrom="column">
            <wp:posOffset>2914650</wp:posOffset>
          </wp:positionH>
          <wp:positionV relativeFrom="paragraph">
            <wp:posOffset>350520</wp:posOffset>
          </wp:positionV>
          <wp:extent cx="554355" cy="564515"/>
          <wp:effectExtent l="0" t="0" r="0" b="6985"/>
          <wp:wrapSquare wrapText="bothSides"/>
          <wp:docPr id="18514438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7732711" name="Picture 164773271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4355" cy="564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0110">
      <w:rPr>
        <w:color w:val="000000" w:themeColor="text1"/>
        <w:sz w:val="32"/>
        <w:szCs w:val="32"/>
      </w:rPr>
      <w:t>Supporting Sponsors</w:t>
    </w:r>
  </w:p>
  <w:p w14:paraId="6B17A7DE" w14:textId="77777777" w:rsidR="002D47C7" w:rsidRDefault="002D47C7" w:rsidP="002D47C7">
    <w:pPr>
      <w:pStyle w:val="Footer"/>
    </w:pPr>
  </w:p>
  <w:p w14:paraId="058FE238" w14:textId="77777777" w:rsidR="002D47C7" w:rsidRDefault="002D47C7" w:rsidP="002D47C7">
    <w:pPr>
      <w:pStyle w:val="Footer"/>
    </w:pPr>
  </w:p>
  <w:p w14:paraId="7BE6277A" w14:textId="77777777" w:rsidR="002D47C7" w:rsidRDefault="002D47C7" w:rsidP="002D47C7">
    <w:pPr>
      <w:pStyle w:val="Footer"/>
    </w:pPr>
  </w:p>
  <w:p w14:paraId="175DAE90" w14:textId="77777777" w:rsidR="002D47C7" w:rsidRDefault="002D47C7" w:rsidP="00506FBE">
    <w:pPr>
      <w:pStyle w:val="Footer"/>
      <w:jc w:val="right"/>
      <w:rPr>
        <w:sz w:val="20"/>
        <w:szCs w:val="20"/>
      </w:rPr>
    </w:pPr>
  </w:p>
  <w:p w14:paraId="3D0344EA" w14:textId="7BFF9756" w:rsidR="00506FBE" w:rsidRPr="00506FBE" w:rsidRDefault="00506FBE" w:rsidP="00506FBE">
    <w:pPr>
      <w:pStyle w:val="Footer"/>
      <w:jc w:val="right"/>
      <w:rPr>
        <w:sz w:val="20"/>
        <w:szCs w:val="20"/>
      </w:rPr>
    </w:pPr>
    <w:r w:rsidRPr="00506FBE">
      <w:rPr>
        <w:sz w:val="20"/>
        <w:szCs w:val="20"/>
      </w:rPr>
      <w:t xml:space="preserve">Page </w:t>
    </w:r>
    <w:r w:rsidRPr="00506FBE">
      <w:rPr>
        <w:b/>
        <w:bCs/>
        <w:sz w:val="20"/>
        <w:szCs w:val="20"/>
      </w:rPr>
      <w:fldChar w:fldCharType="begin"/>
    </w:r>
    <w:r w:rsidRPr="00506FBE">
      <w:rPr>
        <w:b/>
        <w:bCs/>
        <w:sz w:val="20"/>
        <w:szCs w:val="20"/>
      </w:rPr>
      <w:instrText xml:space="preserve"> PAGE  \* Arabic  \* MERGEFORMAT </w:instrText>
    </w:r>
    <w:r w:rsidRPr="00506FBE">
      <w:rPr>
        <w:b/>
        <w:bCs/>
        <w:sz w:val="20"/>
        <w:szCs w:val="20"/>
      </w:rPr>
      <w:fldChar w:fldCharType="separate"/>
    </w:r>
    <w:r w:rsidRPr="00506FBE">
      <w:rPr>
        <w:b/>
        <w:bCs/>
        <w:noProof/>
        <w:sz w:val="20"/>
        <w:szCs w:val="20"/>
      </w:rPr>
      <w:t>1</w:t>
    </w:r>
    <w:r w:rsidRPr="00506FBE">
      <w:rPr>
        <w:b/>
        <w:bCs/>
        <w:sz w:val="20"/>
        <w:szCs w:val="20"/>
      </w:rPr>
      <w:fldChar w:fldCharType="end"/>
    </w:r>
    <w:r w:rsidRPr="00506FBE">
      <w:rPr>
        <w:sz w:val="20"/>
        <w:szCs w:val="20"/>
      </w:rPr>
      <w:t xml:space="preserve"> of </w:t>
    </w:r>
    <w:r w:rsidRPr="00506FBE">
      <w:rPr>
        <w:b/>
        <w:bCs/>
        <w:sz w:val="20"/>
        <w:szCs w:val="20"/>
      </w:rPr>
      <w:fldChar w:fldCharType="begin"/>
    </w:r>
    <w:r w:rsidRPr="00506FBE">
      <w:rPr>
        <w:b/>
        <w:bCs/>
        <w:sz w:val="20"/>
        <w:szCs w:val="20"/>
      </w:rPr>
      <w:instrText xml:space="preserve"> NUMPAGES  \* Arabic  \* MERGEFORMAT </w:instrText>
    </w:r>
    <w:r w:rsidRPr="00506FBE">
      <w:rPr>
        <w:b/>
        <w:bCs/>
        <w:sz w:val="20"/>
        <w:szCs w:val="20"/>
      </w:rPr>
      <w:fldChar w:fldCharType="separate"/>
    </w:r>
    <w:r w:rsidRPr="00506FBE">
      <w:rPr>
        <w:b/>
        <w:bCs/>
        <w:noProof/>
        <w:sz w:val="20"/>
        <w:szCs w:val="20"/>
      </w:rPr>
      <w:t>2</w:t>
    </w:r>
    <w:r w:rsidRPr="00506FBE">
      <w:rPr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6D4CF" w14:textId="77777777" w:rsidR="009D022C" w:rsidRDefault="009D022C" w:rsidP="007F4F67">
      <w:pPr>
        <w:spacing w:after="0" w:line="240" w:lineRule="auto"/>
      </w:pPr>
      <w:r>
        <w:separator/>
      </w:r>
    </w:p>
  </w:footnote>
  <w:footnote w:type="continuationSeparator" w:id="0">
    <w:p w14:paraId="347DD621" w14:textId="77777777" w:rsidR="009D022C" w:rsidRDefault="009D022C" w:rsidP="007F4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8B54" w14:textId="77777777" w:rsidR="004F1F13" w:rsidRPr="00940110" w:rsidRDefault="004F1F13" w:rsidP="004F1F13">
    <w:pPr>
      <w:pStyle w:val="Title"/>
    </w:pPr>
    <w:r w:rsidRPr="00940110">
      <w:rPr>
        <w:noProof/>
      </w:rPr>
      <w:drawing>
        <wp:anchor distT="0" distB="0" distL="114300" distR="114300" simplePos="0" relativeHeight="251666432" behindDoc="0" locked="0" layoutInCell="1" allowOverlap="1" wp14:anchorId="7D280E36" wp14:editId="04B635C4">
          <wp:simplePos x="0" y="0"/>
          <wp:positionH relativeFrom="column">
            <wp:posOffset>-352425</wp:posOffset>
          </wp:positionH>
          <wp:positionV relativeFrom="paragraph">
            <wp:posOffset>-29210</wp:posOffset>
          </wp:positionV>
          <wp:extent cx="2009140" cy="885825"/>
          <wp:effectExtent l="0" t="0" r="0" b="0"/>
          <wp:wrapSquare wrapText="bothSides"/>
          <wp:docPr id="21017311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5424756" name="Picture 2015424756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8868" b="27021"/>
                  <a:stretch>
                    <a:fillRect/>
                  </a:stretch>
                </pic:blipFill>
                <pic:spPr bwMode="auto">
                  <a:xfrm>
                    <a:off x="0" y="0"/>
                    <a:ext cx="2009140" cy="8858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0110">
      <w:rPr>
        <w:noProof/>
      </w:rPr>
      <w:drawing>
        <wp:anchor distT="0" distB="0" distL="114300" distR="114300" simplePos="0" relativeHeight="251665408" behindDoc="0" locked="0" layoutInCell="1" allowOverlap="1" wp14:anchorId="5D395553" wp14:editId="7B8B4909">
          <wp:simplePos x="0" y="0"/>
          <wp:positionH relativeFrom="column">
            <wp:posOffset>5067300</wp:posOffset>
          </wp:positionH>
          <wp:positionV relativeFrom="paragraph">
            <wp:posOffset>57150</wp:posOffset>
          </wp:positionV>
          <wp:extent cx="1346200" cy="525780"/>
          <wp:effectExtent l="0" t="0" r="6350" b="7620"/>
          <wp:wrapSquare wrapText="bothSides"/>
          <wp:docPr id="991860441" name="Picture 2" descr="A group of red letters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932696" name="Picture 2" descr="A group of red letters  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6200" cy="52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40110">
      <w:t xml:space="preserve">OSU </w:t>
    </w:r>
    <w:proofErr w:type="spellStart"/>
    <w:r w:rsidRPr="00940110">
      <w:t>Datathon</w:t>
    </w:r>
    <w:proofErr w:type="spellEnd"/>
    <w:r w:rsidRPr="00940110">
      <w:t xml:space="preserve"> 2026</w:t>
    </w:r>
  </w:p>
  <w:p w14:paraId="5CBFCEE9" w14:textId="77777777" w:rsidR="004F1F13" w:rsidRDefault="004F1F13" w:rsidP="004F1F13">
    <w:pPr>
      <w:pStyle w:val="Subtitle"/>
      <w:spacing w:after="360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97DD016" wp14:editId="5AA4B288">
          <wp:simplePos x="0" y="0"/>
          <wp:positionH relativeFrom="column">
            <wp:posOffset>4222750</wp:posOffset>
          </wp:positionH>
          <wp:positionV relativeFrom="paragraph">
            <wp:posOffset>227330</wp:posOffset>
          </wp:positionV>
          <wp:extent cx="2190750" cy="478155"/>
          <wp:effectExtent l="0" t="0" r="0" b="0"/>
          <wp:wrapSquare wrapText="bothSides"/>
          <wp:docPr id="101117990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938247" name="Picture 680938247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171" t="28726" r="3621" b="33291"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78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098FAB" w14:textId="77777777" w:rsidR="004F1F13" w:rsidRPr="00F46BCA" w:rsidRDefault="004F1F13" w:rsidP="004F1F13">
    <w:pPr>
      <w:pStyle w:val="Header"/>
    </w:pPr>
  </w:p>
  <w:p w14:paraId="43020EB0" w14:textId="77777777" w:rsidR="002D47C7" w:rsidRDefault="002D47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67"/>
    <w:rsid w:val="0002700C"/>
    <w:rsid w:val="00045D6D"/>
    <w:rsid w:val="0016009B"/>
    <w:rsid w:val="001643A9"/>
    <w:rsid w:val="00166DBB"/>
    <w:rsid w:val="0022161D"/>
    <w:rsid w:val="002A2DFB"/>
    <w:rsid w:val="002D47C7"/>
    <w:rsid w:val="0030153C"/>
    <w:rsid w:val="003366E9"/>
    <w:rsid w:val="003623B1"/>
    <w:rsid w:val="003E6557"/>
    <w:rsid w:val="0040573E"/>
    <w:rsid w:val="004F1F13"/>
    <w:rsid w:val="00506FBE"/>
    <w:rsid w:val="00527CAA"/>
    <w:rsid w:val="00553077"/>
    <w:rsid w:val="005B24DB"/>
    <w:rsid w:val="00602DC8"/>
    <w:rsid w:val="00615D04"/>
    <w:rsid w:val="00651830"/>
    <w:rsid w:val="006D40F4"/>
    <w:rsid w:val="0076612C"/>
    <w:rsid w:val="007D20F2"/>
    <w:rsid w:val="007E6EEE"/>
    <w:rsid w:val="007F4F67"/>
    <w:rsid w:val="00816741"/>
    <w:rsid w:val="00831C67"/>
    <w:rsid w:val="00865FBC"/>
    <w:rsid w:val="008875C3"/>
    <w:rsid w:val="00894A64"/>
    <w:rsid w:val="008C2EA8"/>
    <w:rsid w:val="00993A9D"/>
    <w:rsid w:val="009D022C"/>
    <w:rsid w:val="00AD0C5C"/>
    <w:rsid w:val="00B3029A"/>
    <w:rsid w:val="00B713B0"/>
    <w:rsid w:val="00B86FB9"/>
    <w:rsid w:val="00B93FD9"/>
    <w:rsid w:val="00BE6A33"/>
    <w:rsid w:val="00C07B7A"/>
    <w:rsid w:val="00C22E6A"/>
    <w:rsid w:val="00DE2B91"/>
    <w:rsid w:val="00EA5EE3"/>
    <w:rsid w:val="00EC72DF"/>
    <w:rsid w:val="00EF6DCC"/>
    <w:rsid w:val="06B4C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69D61"/>
  <w15:chartTrackingRefBased/>
  <w15:docId w15:val="{42685F7E-4968-40E5-8F89-51A437F74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4A4C4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A4C4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67"/>
    <w:pPr>
      <w:keepNext/>
      <w:keepLines/>
      <w:spacing w:before="160" w:after="80"/>
      <w:outlineLvl w:val="2"/>
    </w:pPr>
    <w:rPr>
      <w:rFonts w:eastAsiaTheme="majorEastAsia" w:cstheme="majorBidi"/>
      <w:color w:val="4A4C4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A4C4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67"/>
    <w:pPr>
      <w:keepNext/>
      <w:keepLines/>
      <w:spacing w:before="80" w:after="40"/>
      <w:outlineLvl w:val="4"/>
    </w:pPr>
    <w:rPr>
      <w:rFonts w:eastAsiaTheme="majorEastAsia" w:cstheme="majorBidi"/>
      <w:color w:val="4A4C4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67"/>
    <w:rPr>
      <w:rFonts w:asciiTheme="majorHAnsi" w:eastAsiaTheme="majorEastAsia" w:hAnsiTheme="majorHAnsi" w:cstheme="majorBidi"/>
      <w:color w:val="4A4C4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67"/>
    <w:rPr>
      <w:rFonts w:asciiTheme="majorHAnsi" w:eastAsiaTheme="majorEastAsia" w:hAnsiTheme="majorHAnsi" w:cstheme="majorBidi"/>
      <w:color w:val="4A4C4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67"/>
    <w:rPr>
      <w:rFonts w:eastAsiaTheme="majorEastAsia" w:cstheme="majorBidi"/>
      <w:color w:val="4A4C4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67"/>
    <w:rPr>
      <w:rFonts w:eastAsiaTheme="majorEastAsia" w:cstheme="majorBidi"/>
      <w:i/>
      <w:iCs/>
      <w:color w:val="4A4C4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67"/>
    <w:rPr>
      <w:rFonts w:eastAsiaTheme="majorEastAsia" w:cstheme="majorBidi"/>
      <w:color w:val="4A4C4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67"/>
    <w:rPr>
      <w:i/>
      <w:iCs/>
      <w:color w:val="4A4C4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67"/>
    <w:pPr>
      <w:pBdr>
        <w:top w:val="single" w:sz="4" w:space="10" w:color="4A4C4F" w:themeColor="accent1" w:themeShade="BF"/>
        <w:bottom w:val="single" w:sz="4" w:space="10" w:color="4A4C4F" w:themeColor="accent1" w:themeShade="BF"/>
      </w:pBdr>
      <w:spacing w:before="360" w:after="360"/>
      <w:ind w:left="864" w:right="864"/>
      <w:jc w:val="center"/>
    </w:pPr>
    <w:rPr>
      <w:i/>
      <w:iCs/>
      <w:color w:val="4A4C4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67"/>
    <w:rPr>
      <w:i/>
      <w:iCs/>
      <w:color w:val="4A4C4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67"/>
    <w:rPr>
      <w:b/>
      <w:bCs/>
      <w:smallCaps/>
      <w:color w:val="4A4C4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4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F67"/>
  </w:style>
  <w:style w:type="paragraph" w:styleId="Footer">
    <w:name w:val="footer"/>
    <w:basedOn w:val="Normal"/>
    <w:link w:val="FooterChar"/>
    <w:uiPriority w:val="99"/>
    <w:unhideWhenUsed/>
    <w:rsid w:val="007F4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A24">
  <a:themeElements>
    <a:clrScheme name="Custom 2">
      <a:dk1>
        <a:sysClr val="windowText" lastClr="000000"/>
      </a:dk1>
      <a:lt1>
        <a:sysClr val="window" lastClr="FFFFFF"/>
      </a:lt1>
      <a:dk2>
        <a:srgbClr val="3D3D3D"/>
      </a:dk2>
      <a:lt2>
        <a:srgbClr val="EBEBEB"/>
      </a:lt2>
      <a:accent1>
        <a:srgbClr val="63666A"/>
      </a:accent1>
      <a:accent2>
        <a:srgbClr val="FA6400"/>
      </a:accent2>
      <a:accent3>
        <a:srgbClr val="ED8428"/>
      </a:accent3>
      <a:accent4>
        <a:srgbClr val="D0D0CE"/>
      </a:accent4>
      <a:accent5>
        <a:srgbClr val="63666A"/>
      </a:accent5>
      <a:accent6>
        <a:srgbClr val="63666A"/>
      </a:accent6>
      <a:hlink>
        <a:srgbClr val="63666A"/>
      </a:hlink>
      <a:folHlink>
        <a:srgbClr val="D0D0CE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971</Words>
  <Characters>5483</Characters>
  <Application>Microsoft Office Word</Application>
  <DocSecurity>0</DocSecurity>
  <Lines>81</Lines>
  <Paragraphs>36</Paragraphs>
  <ScaleCrop>false</ScaleCrop>
  <Company>Spears School of Business</Company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Strom, Kim</dc:creator>
  <cp:keywords/>
  <dc:description/>
  <cp:lastModifiedBy>Bathini, Sairam</cp:lastModifiedBy>
  <cp:revision>2</cp:revision>
  <dcterms:created xsi:type="dcterms:W3CDTF">2026-02-13T13:05:00Z</dcterms:created>
  <dcterms:modified xsi:type="dcterms:W3CDTF">2026-02-13T13:05:00Z</dcterms:modified>
</cp:coreProperties>
</file>