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ehi8avp6tsw" w:id="0"/>
      <w:bookmarkEnd w:id="0"/>
      <w:r w:rsidDel="00000000" w:rsidR="00000000" w:rsidRPr="00000000">
        <w:rPr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rh1941omyqc" w:id="1"/>
      <w:bookmarkEnd w:id="1"/>
      <w:r w:rsidDel="00000000" w:rsidR="00000000" w:rsidRPr="00000000">
        <w:rPr>
          <w:rtl w:val="0"/>
        </w:rPr>
        <w:t xml:space="preserve">Анализ действующих сертификатов в реестрах ФСТЭК и Минцифры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en8xzytp78m4" w:id="2"/>
      <w:bookmarkEnd w:id="2"/>
      <w:r w:rsidDel="00000000" w:rsidR="00000000" w:rsidRPr="00000000">
        <w:rPr>
          <w:rtl w:val="0"/>
        </w:rPr>
        <w:t xml:space="preserve">Продукт 1 (ФСТЭК России)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2.6734778863183"/>
        <w:gridCol w:w="6802.838333137305"/>
        <w:tblGridChange w:id="0">
          <w:tblGrid>
            <w:gridCol w:w="2222.6734778863183"/>
            <w:gridCol w:w="6802.8383331373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Пункт анализа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продукта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ViPNet Coordinator HW 4, версия ПО 4.5.8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Владелец/правообладатель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АО «ИнфоТеКС»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сертификата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 3692 от 26.01.2017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infotecs.ru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выдачи и срок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Выдан: 26.01.2017; Действует до: 26.01.2030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какие требования выдан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Соответствует требованиям по безопасности информации: 4 уровень доверия к средствам технической защиты; Требования к межсетевым экранам (ФСТЭК России, 2016); Профили защиты ИТ.МЭ.А4.ПЗ и ИТ.МЭ.Б4.ПЗ; межсетевой экран типа А и Б четвертого класса защиты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infotecs.ru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Область применения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Государственные информационные системы (ГИС), автоматизированные системы управления (АСУ), информационные системы персональных данных (ИСПДн), объекты критической информационной инфраструктуры (КИИ); защита каналов связи при передаче информации по открытым сетям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предназначен для защиты сведений, составляющих государственную тайну (для работы с гостайной требуются средства с более высоким классом защиты); применяется в составе сертифицированных конфигураций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razmlzdv6fh" w:id="3"/>
      <w:bookmarkEnd w:id="3"/>
      <w:r w:rsidDel="00000000" w:rsidR="00000000" w:rsidRPr="00000000">
        <w:rPr>
          <w:rtl w:val="0"/>
        </w:rPr>
        <w:t xml:space="preserve">Продукт 2 (Реестр Минцифры России)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4798439200763"/>
        <w:gridCol w:w="6822.031967103548"/>
        <w:tblGridChange w:id="0">
          <w:tblGrid>
            <w:gridCol w:w="2203.4798439200763"/>
            <w:gridCol w:w="6822.03196710354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Пункт анализа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продукта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РЕД ОС (редакция «Смоленск»), версия 7.3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Владелец/правообладатель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ООО «Ред Софт»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реестровой записи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 3751 от 23.07.2017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reestr.digital.gov.ru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redos.red-soft.ru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выдачи и срок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Включена в реестр: 23.07.2017; Срок действия: бессрочно (при условии ежегодного подтверждения сведений до 1 апреля)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www.aoreestr.ru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какие требования выдан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Соответствует критериям включения в реестр отечественного ПО: отсутствие иностранного бенефициарного владельца, исключительные права на ПО принадлежат российскому юридическому лицу, функционал и исходный код контролируются в РФ, совместимость с российскими ОС и процессорами (с 2026 г.)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www.cnews.ru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www.tadviser.ru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Область применения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2e3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Органы государственной власти, государственные и муниципальные учреждения, госкорпорации; закупки по 44-ФЗ и 223-ФЗ в рамках импортозамещения; использование в качестве базовой ОС для государственных информационных систем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e2e3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Включение в реестр не подтверждает уровень защищённости от НСВ и соответствие требованиям ФСТЭК/ФСБ; для работы с конфиденциальной информацией требуется отдельная сертификация; с 2026 г. — обязательная совместимость с двумя российскими ОС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www.tadviser.ru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w9bi6hy0g8dx" w:id="4"/>
      <w:bookmarkEnd w:id="4"/>
      <w:r w:rsidDel="00000000" w:rsidR="00000000" w:rsidRPr="00000000">
        <w:rPr>
          <w:rtl w:val="0"/>
        </w:rPr>
        <w:t xml:space="preserve">Сравнительный вывод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Сертификат ФСТЭК России подтверждает, что средство защиты информации (в данном случае — межсетевой экран) прошло независимую экспертизу и соответствует установленным требованиям безопасности: способно противостоять конкретным угрозам, реализует заявленные функции защиты и может применяться в защищённых информационных системах определённого класса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www.anti-malware.ru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sertcity.ru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 В то же время запись в реестре Минцифры России удостоверяет исключительно «российское происхождение» программного обеспечения: отсутствие иностранного контроля, легальность прав на код и возможность использования продукта в госзакупках для импортозамещения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www.garant.ru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www.rbc.ru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 Таким образом, сертификат ФСТЭК отвечает на вопрос «насколько безопасно ПО?», а реестр Минцифры — на вопрос «является ли ПО российским и допустимо ли его использование в государственном секторе?». Для полноценного применения в защищённых системах государственного уровня продукт должен иметь оба документа.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