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Notes and References</w:t>
      </w:r>
    </w:p>
    <w:p>
      <w:r>
        <w:t xml:space="preserve">The delivery deadline is binding</w:t>
      </w:r>
      <w:r>
        <w:rPr>
          <w:rStyle w:val="FootnoteReference"/>
        </w:rPr>
        <w:footnoteReference w:id="2"/>
      </w:r>
      <w:r>
        <w:t xml:space="preserve"> and the penalty is capped</w:t>
      </w:r>
      <w:r>
        <w:rPr>
          <w:rStyle w:val="FootnoteReference"/>
        </w:rPr>
        <w:footnoteReference w:id="3"/>
      </w:r>
      <w:r>
        <w:t xml:space="preserve">.</w:t>
      </w:r>
    </w:p>
    <w:p>
      <w:r>
        <w:t xml:space="preserve">The governing law is described in the closing section</w:t>
      </w:r>
      <w:r>
        <w:rPr>
          <w:rStyle w:val="FootnoteReference"/>
        </w:rPr>
        <w:endnoteReference w:id="2"/>
      </w:r>
      <w:r>
        <w:t xml:space="preserve">.</w:t>
      </w:r>
    </w:p>
    <w:p>
      <w:r>
        <w:t xml:space="preserve">A footnote reference may also appear inside a table cell.</w:t>
      </w:r>
    </w:p>
    <w:tbl>
      <w:tblPr>
        <w:tblStyle w:val="TableGrid"/>
        <w:tblW w:w="0" w:type="auto"/>
      </w:tblPr>
      <w:tblGrid>
        <w:gridCol w:w="3000"/>
        <w:gridCol w:w="3000"/>
      </w:tblGrid>
      <w:tr>
        <w:tc>
          <w:p>
            <w:r>
              <w:rPr>
                <w:b/>
              </w:rPr>
              <w:t xml:space="preserve">Clause</w:t>
            </w:r>
          </w:p>
        </w:tc>
        <w:tc>
          <w:p>
            <w:r>
              <w:rPr>
                <w:b/>
              </w:rPr>
              <w:t xml:space="preserve">Note</w:t>
            </w:r>
          </w:p>
        </w:tc>
      </w:tr>
      <w:tr>
        <w:tc>
          <w:p>
            <w:r>
              <w:t xml:space="preserve">Warranty</w:t>
            </w:r>
          </w:p>
        </w:tc>
        <w:tc>
          <w:p>
            <w:r>
              <w:t xml:space="preserve">24 months</w:t>
            </w:r>
            <w:r>
              <w:rPr>
                <w:rStyle w:val="FootnoteReference"/>
              </w:rPr>
              <w:footnoteReference w:id="4"/>
            </w:r>
          </w:p>
        </w:tc>
      </w:tr>
    </w:tbl>
    <w:sectPr>
      <w:pgSz w:w="11906" w:h="16838"/>
      <w:pgMar w:top="1417" w:right="1417" w:bottom="1417" w:left="1417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2">
    <w:p>
      <w:pPr>
        <w:pStyle w:val="FootnoteText"/>
      </w:pPr>
      <w:r>
        <w:t xml:space="preserve">This agreement is governed by the law of the supplier's seat.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t xml:space="preserve">The deadline follows the schedule in Annex 1.</w:t>
      </w:r>
    </w:p>
  </w:footnote>
  <w:footnote w:id="3">
    <w:p>
      <w:pPr>
        <w:pStyle w:val="FootnoteText"/>
      </w:pPr>
      <w:r>
        <w:t xml:space="preserve">The penalty may not exceed ten per cent of the contract price.</w:t>
      </w:r>
    </w:p>
  </w:footnote>
  <w:footnote w:id="4">
    <w:p>
      <w:pPr>
        <w:pStyle w:val="FootnoteText"/>
      </w:pPr>
      <w:r>
        <w:t xml:space="preserve">The warranty period starts on the acceptance date.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/Relationships>
</file>