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Root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body>
    <w:p>
      <w:pPr>
        <w:pStyle w:val="Heading1"/>
      </w:pPr>
      <w:r>
        <w:t xml:space="preserve">Document With Headers and Footers</w:t>
      </w:r>
    </w:p>
    <w:p>
      <w:r>
        <w:t xml:space="preserve">The default header, the first-page header, and the footer are separate package parts.</w:t>
      </w:r>
    </w:p>
    <w:p>
      <w:r>
        <w:t xml:space="preserve">The first-page header embeds a logo through its own relationship part.</w:t>
      </w:r>
    </w:p>
    <w:sectPr>
      <w:headerReference w:type="first" r:id="rId2"/>
      <w:headerReference w:type="default" r:id="rId1"/>
      <w:footerReference w:type="default" r:id="rId3"/>
      <w:pgSz w:w="11906" w:h="16838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p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  <w:p>
    <w:r>
      <w:t xml:space="preserve">Contract reference: NS-2026-0147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p>
    <w:r>
      <w:t xml:space="preserve">Reporting Platform — Service Documentation</w:t>
    </w:r>
  </w:p>
  <w:p>
    <w:r>
      <w:t xml:space="preserve">Restricted distribution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p>
    <w:r>
      <w:drawing>
        <wp:inline distT="0" distB="0" distL="0" distR="0">
          <wp:extent cx="914400" cy="914400"/>
          <wp:effectExtent l="0" t="0" r="0" b="0"/>
          <wp:docPr id="10" name="logo.png" descr="Supplier logo in the first-page head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logo.png" descr="Supplier logo in the first-page head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r>
      <w:t xml:space="preserve">Supplier: Northwind Services Ltd.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footer" Target="footer1.xml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