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Types>
</file>

<file path=_rels/.rels><?xml version="1.0" encoding="UTF-8" standalone="yes"?>
<Relationships xmlns="http://schemas.openxmlformats.org/package/2006/relationships"><Relationship Id="rIdRoot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body>
    <w:p>
      <w:pPr>
        <w:pStyle w:val="Heading1"/>
      </w:pPr>
      <w:r>
        <w:t xml:space="preserve">Service Agreement for the Reporting Platform</w:t>
      </w:r>
    </w:p>
    <w:p>
      <w:r>
        <w:t xml:space="preserve">Contract reference NS-2026-0147, concluded under the framework agreement of 4 March 2025.</w:t>
      </w:r>
    </w:p>
    <w:p>
      <w:pPr>
        <w:pStyle w:val="Heading2"/>
      </w:pPr>
      <w:r>
        <w:t xml:space="preserve">1. Contracting Parties</w:t>
      </w:r>
    </w:p>
    <w:tbl>
      <w:tblPr>
        <w:tblStyle w:val="TableGrid"/>
        <w:tblW w:w="0" w:type="auto"/>
      </w:tblPr>
      <w:tblGrid>
        <w:gridCol w:w="3000"/>
        <w:gridCol w:w="3000"/>
      </w:tblGrid>
      <w:tr>
        <w:tc>
          <w:p>
            <w:r>
              <w:rPr>
                <w:b/>
              </w:rPr>
              <w:t xml:space="preserve">Client</w:t>
            </w:r>
          </w:p>
        </w:tc>
        <w:tc>
          <w:p>
            <w:r>
              <w:rPr>
                <w:b/>
              </w:rPr>
              <w:t xml:space="preserve">Supplier</w:t>
            </w:r>
          </w:p>
        </w:tc>
      </w:tr>
      <w:tr>
        <w:tc>
          <w:p>
            <w:r>
              <w:t xml:space="preserve">Harbour City Council</w:t>
            </w:r>
          </w:p>
          <w:p>
            <w:r>
              <w:t xml:space="preserve">14 Harbour Road, Bristol</w:t>
            </w:r>
          </w:p>
          <w:p>
            <w:r>
              <w:t xml:space="preserve">Company number 08421337</w:t>
            </w:r>
          </w:p>
        </w:tc>
        <w:tc>
          <w:p>
            <w:r>
              <w:t xml:space="preserve">Northwind Services Ltd.</w:t>
            </w:r>
          </w:p>
          <w:p>
            <w:r>
              <w:t xml:space="preserve">2 Kingsway, Manchester</w:t>
            </w:r>
          </w:p>
          <w:p>
            <w:r>
              <w:t xml:space="preserve">Company number 11902884</w:t>
            </w:r>
          </w:p>
        </w:tc>
      </w:tr>
      <w:tr>
        <w:tc>
          <w:p>
            <w:r>
              <w:t xml:space="preserve">Represented by Jordan Ellis, Head of Procurement</w:t>
            </w:r>
          </w:p>
        </w:tc>
        <w:tc>
          <w:p>
            <w:r>
              <w:t xml:space="preserve">Represented by Priya Raman, Managing Director</w:t>
            </w:r>
          </w:p>
        </w:tc>
      </w:tr>
    </w:tbl>
    <w:p>
      <w:pPr>
        <w:pStyle w:val="Heading2"/>
      </w:pPr>
      <w:r>
        <w:t xml:space="preserve">2. Subject of the Agreement</w:t>
      </w:r>
    </w:p>
    <w:p>
      <w:r>
        <w:t xml:space="preserve">The supplier delivers implementation, hosting, and support services for the reporting platform described in Annex 1. The client pays the agreed price and provides the access and data needed for delivery.</w:t>
      </w:r>
    </w:p>
    <w:p>
      <w:r>
        <w:t xml:space="preserve">The technical specification is published at </w:t>
      </w:r>
      <w:hyperlink r:id="rId6">
        <w:r>
          <w:rPr>
            <w:u w:val="single"/>
          </w:rPr>
          <w:t xml:space="preserve">the tender detail page</w:t>
        </w:r>
      </w:hyperlink>
      <w:r>
        <w:t xml:space="preserve"> and forms an integral part of this agreement</w:t>
      </w:r>
      <w:r>
        <w:rPr>
          <w:rStyle w:val="FootnoteReference"/>
        </w:rPr>
        <w:footnoteReference w:id="2"/>
      </w:r>
      <w:r>
        <w:t xml:space="preserve">.</w:t>
      </w:r>
    </w:p>
    <w:p>
      <w:pPr>
        <w:pStyle w:val="Heading2"/>
      </w:pPr>
      <w:r>
        <w:t xml:space="preserve">3. Scope of Services</w:t>
      </w:r>
    </w:p>
    <w:p>
      <w:pPr>
        <w:pStyle w:val="ListParagraph"/>
        <w:numPr>
          <w:ilvl w:val="0"/>
          <w:numId w:val="1"/>
        </w:numPr>
      </w:pPr>
      <w:r>
        <w:t xml:space="preserve">Implementation services</w:t>
      </w:r>
    </w:p>
    <w:p>
      <w:pPr>
        <w:pStyle w:val="ListParagraph"/>
        <w:numPr>
          <w:ilvl w:val="1"/>
          <w:numId w:val="1"/>
        </w:numPr>
      </w:pPr>
      <w:r>
        <w:t xml:space="preserve">Environment provisioning and configuration.</w:t>
      </w:r>
    </w:p>
    <w:p>
      <w:pPr>
        <w:pStyle w:val="ListParagraph"/>
        <w:numPr>
          <w:ilvl w:val="1"/>
          <w:numId w:val="1"/>
        </w:numPr>
      </w:pPr>
      <w:r>
        <w:t xml:space="preserve">Migration of historical reporting data.</w:t>
      </w:r>
    </w:p>
    <w:p>
      <w:pPr>
        <w:pStyle w:val="ListParagraph"/>
        <w:numPr>
          <w:ilvl w:val="2"/>
          <w:numId w:val="1"/>
        </w:numPr>
      </w:pPr>
      <w:r>
        <w:t xml:space="preserve">Validation of migrated records against the source system.</w:t>
      </w:r>
    </w:p>
    <w:p>
      <w:pPr>
        <w:pStyle w:val="ListParagraph"/>
        <w:numPr>
          <w:ilvl w:val="0"/>
          <w:numId w:val="1"/>
        </w:numPr>
      </w:pPr>
      <w:r>
        <w:t xml:space="preserve">Operating services</w:t>
      </w:r>
    </w:p>
    <w:p>
      <w:pPr>
        <w:pStyle w:val="ListParagraph"/>
        <w:numPr>
          <w:ilvl w:val="1"/>
          <w:numId w:val="1"/>
        </w:numPr>
      </w:pPr>
      <w:r>
        <w:t xml:space="preserve">Hosting with an availability target of 99.5 per cent per month.</w:t>
      </w:r>
    </w:p>
    <w:p>
      <w:pPr>
        <w:pStyle w:val="ListParagraph"/>
        <w:numPr>
          <w:ilvl w:val="1"/>
          <w:numId w:val="1"/>
        </w:numPr>
      </w:pPr>
      <w:r>
        <w:t xml:space="preserve">Incident response within the agreed reaction times.</w:t>
      </w:r>
    </w:p>
    <w:p>
      <w:pPr>
        <w:pStyle w:val="ListParagraph"/>
        <w:numPr>
          <w:ilvl w:val="0"/>
          <w:numId w:val="1"/>
        </w:numPr>
      </w:pPr>
      <w:r>
        <w:t xml:space="preserve">Support and training</w:t>
      </w:r>
    </w:p>
    <w:p>
      <w:pPr>
        <w:pStyle w:val="ListParagraph"/>
        <w:numPr>
          <w:ilvl w:val="1"/>
          <w:numId w:val="1"/>
        </w:numPr>
      </w:pPr>
      <w:r>
        <w:t xml:space="preserve">Two training days for up to twelve users.</w:t>
      </w:r>
    </w:p>
    <w:p>
      <w:pPr>
        <w:pStyle w:val="Heading2"/>
      </w:pPr>
      <w:r>
        <w:t xml:space="preserve">4. Price and Payment Terms</w:t>
      </w:r>
    </w:p>
    <w:tbl>
      <w:tblPr>
        <w:tblStyle w:val="TableGrid"/>
        <w:tblW w:w="0" w:type="auto"/>
      </w:tblPr>
      <w:tblGrid>
        <w:gridCol w:w="3000"/>
        <w:gridCol w:w="3000"/>
        <w:gridCol w:w="3000"/>
        <w:gridCol w:w="3000"/>
      </w:tblGrid>
      <w:tr>
        <w:tc>
          <w:tcPr>
            <w:gridSpan w:val="4"/>
          </w:tcPr>
          <w:p>
            <w:r>
              <w:rPr>
                <w:b/>
              </w:rPr>
              <w:t xml:space="preserve">Price summary in EUR excluding VAT</w:t>
            </w:r>
          </w:p>
        </w:tc>
      </w:tr>
      <w:tr>
        <w:tc>
          <w:p>
            <w:r>
              <w:rPr>
                <w:b/>
              </w:rPr>
              <w:t xml:space="preserve">Item</w:t>
            </w:r>
          </w:p>
        </w:tc>
        <w:tc>
          <w:p>
            <w:r>
              <w:rPr>
                <w:b/>
              </w:rPr>
              <w:t xml:space="preserve">Quantity</w:t>
            </w:r>
          </w:p>
        </w:tc>
        <w:tc>
          <w:p>
            <w:r>
              <w:rPr>
                <w:b/>
              </w:rPr>
              <w:t xml:space="preserve">Unit price</w:t>
            </w:r>
          </w:p>
        </w:tc>
        <w:tc>
          <w:p>
            <w:r>
              <w:rPr>
                <w:b/>
              </w:rPr>
              <w:t xml:space="preserve">Total</w:t>
            </w:r>
          </w:p>
        </w:tc>
      </w:tr>
      <w:tr>
        <w:tc>
          <w:tcPr>
            <w:vMerge w:val="restart"/>
          </w:tcPr>
          <w:p>
            <w:r>
              <w:t xml:space="preserve">Implementation</w:t>
            </w:r>
          </w:p>
        </w:tc>
        <w:tc>
          <w:p>
            <w:r>
              <w:t xml:space="preserve">1</w:t>
            </w:r>
          </w:p>
        </w:tc>
        <w:tc>
          <w:p>
            <w:r>
              <w:t xml:space="preserve">4,500.00</w:t>
            </w:r>
          </w:p>
        </w:tc>
        <w:tc>
          <w:p>
            <w:r>
              <w:t xml:space="preserve">4,500.00</w:t>
            </w:r>
          </w:p>
        </w:tc>
      </w:tr>
      <w:tr>
        <w:tc>
          <w:tcPr>
            <w:vMerge/>
          </w:tcPr>
          <w:p/>
        </w:tc>
        <w:tc>
          <w:p>
            <w:r>
              <w:t xml:space="preserve">2</w:t>
            </w:r>
          </w:p>
        </w:tc>
        <w:tc>
          <w:p>
            <w:r>
              <w:t xml:space="preserve">1,200.00</w:t>
            </w:r>
          </w:p>
        </w:tc>
        <w:tc>
          <w:p>
            <w:r>
              <w:t xml:space="preserve">2,400.00</w:t>
            </w:r>
          </w:p>
        </w:tc>
      </w:tr>
      <w:tr>
        <w:tc>
          <w:p>
            <w:r>
              <w:t xml:space="preserve">Annual hosting</w:t>
            </w:r>
          </w:p>
        </w:tc>
        <w:tc>
          <w:p>
            <w:r>
              <w:t xml:space="preserve">12</w:t>
            </w:r>
          </w:p>
        </w:tc>
        <w:tc>
          <w:p>
            <w:r>
              <w:t xml:space="preserve">240.00</w:t>
            </w:r>
          </w:p>
        </w:tc>
        <w:tc>
          <w:p>
            <w:r>
              <w:t xml:space="preserve">2,880.00</w:t>
            </w:r>
          </w:p>
        </w:tc>
      </w:tr>
      <w:tr>
        <w:tc>
          <w:p>
            <w:r>
              <w:t xml:space="preserve">Support hours</w:t>
            </w:r>
          </w:p>
        </w:tc>
        <w:tc>
          <w:p>
            <w:r>
              <w:t xml:space="preserve">40</w:t>
            </w:r>
          </w:p>
        </w:tc>
        <w:tc>
          <w:p>
            <w:r>
              <w:t xml:space="preserve">75.00</w:t>
            </w:r>
          </w:p>
        </w:tc>
        <w:tc>
          <w:p>
            <w:r>
              <w:t xml:space="preserve">3,000.00</w:t>
            </w:r>
          </w:p>
        </w:tc>
      </w:tr>
      <w:tr>
        <w:tc>
          <w:tcPr>
            <w:gridSpan w:val="3"/>
          </w:tcPr>
          <w:p>
            <w:r>
              <w:rPr>
                <w:b/>
              </w:rPr>
              <w:t xml:space="preserve">Total</w:t>
            </w:r>
          </w:p>
        </w:tc>
        <w:tc>
          <w:p>
            <w:r>
              <w:rPr>
                <w:b/>
              </w:rPr>
              <w:t xml:space="preserve">12,780.00</w:t>
            </w:r>
          </w:p>
        </w:tc>
      </w:tr>
    </w:tbl>
    <w:p>
      <w:r>
        <w:t xml:space="preserve">Invoices are payable within thirty days of delivery. Late payment interest follows the statutory rate.</w:t>
      </w:r>
    </w:p>
    <w:p>
      <w:r>
        <w:t xml:space="preserve">The price is fixed for the first contract year</w:t>
      </w:r>
      <w:r>
        <w:rPr>
          <w:rStyle w:val="FootnoteReference"/>
        </w:rPr>
        <w:footnoteReference w:id="3"/>
      </w:r>
      <w:r>
        <w:t xml:space="preserve">.</w:t>
      </w:r>
    </w:p>
    <w:p>
      <w:pPr>
        <w:pStyle w:val="Heading2"/>
      </w:pPr>
      <w:r>
        <w:t xml:space="preserve">5. Service Levels</w:t>
      </w:r>
    </w:p>
    <w:tbl>
      <w:tblPr>
        <w:tblStyle w:val="TableGrid"/>
        <w:tblW w:w="0" w:type="auto"/>
      </w:tblPr>
      <w:tblGrid>
        <w:gridCol w:w="3000"/>
        <w:gridCol w:w="3000"/>
        <w:gridCol w:w="3000"/>
      </w:tblGrid>
      <w:tr>
        <w:tc>
          <w:p>
            <w:r>
              <w:rPr>
                <w:b/>
              </w:rPr>
              <w:t xml:space="preserve">Severity</w:t>
            </w:r>
          </w:p>
        </w:tc>
        <w:tc>
          <w:p>
            <w:r>
              <w:rPr>
                <w:b/>
              </w:rPr>
              <w:t xml:space="preserve">Reaction time</w:t>
            </w:r>
          </w:p>
        </w:tc>
        <w:tc>
          <w:p>
            <w:r>
              <w:rPr>
                <w:b/>
              </w:rPr>
              <w:t xml:space="preserve">Resolution target</w:t>
            </w:r>
          </w:p>
        </w:tc>
      </w:tr>
      <w:tr>
        <w:tc>
          <w:p>
            <w:r>
              <w:t xml:space="preserve">Critical</w:t>
            </w:r>
          </w:p>
        </w:tc>
        <w:tc>
          <w:p>
            <w:r>
              <w:t xml:space="preserve">1 hour</w:t>
            </w:r>
          </w:p>
        </w:tc>
        <w:tc>
          <w:p>
            <w:r>
              <w:t xml:space="preserve">8 business hours</w:t>
            </w:r>
          </w:p>
        </w:tc>
      </w:tr>
      <w:tr>
        <w:tc>
          <w:p>
            <w:r>
              <w:t xml:space="preserve">High</w:t>
            </w:r>
          </w:p>
        </w:tc>
        <w:tc>
          <w:p>
            <w:r>
              <w:t xml:space="preserve">4 business hours</w:t>
            </w:r>
          </w:p>
        </w:tc>
        <w:tc>
          <w:p>
            <w:r>
              <w:t xml:space="preserve">2 business days</w:t>
            </w:r>
          </w:p>
        </w:tc>
      </w:tr>
      <w:tr>
        <w:tc>
          <w:p>
            <w:r>
              <w:t xml:space="preserve">Standard</w:t>
            </w:r>
          </w:p>
        </w:tc>
        <w:tc>
          <w:p>
            <w:r>
              <w:t xml:space="preserve">1 business day</w:t>
            </w:r>
          </w:p>
        </w:tc>
        <w:tc>
          <w:p>
            <w:r>
              <w:t xml:space="preserve">10 business days</w:t>
            </w:r>
          </w:p>
        </w:tc>
      </w:tr>
    </w:tbl>
    <w:p>
      <w:pPr>
        <w:pStyle w:val="Heading2"/>
      </w:pPr>
      <w:r>
        <w:t xml:space="preserve">6. Acceptance</w:t>
      </w:r>
    </w:p>
    <w:p>
      <w:r>
        <w:t xml:space="preserve">Each milestone is accepted by a written protocol signed by both parties. The client may reject a delivery only for defects that prevent the agreed use.</w:t>
      </w:r>
    </w:p>
    <w:p>
      <w:pPr>
        <w:pStyle w:val="Heading3"/>
      </w:pPr>
      <w:r>
        <w:t xml:space="preserve">6.1 Acceptance Checklist</w:t>
      </w:r>
    </w:p>
    <w:p>
      <w:pPr>
        <w:pStyle w:val="ListParagraph"/>
        <w:numPr>
          <w:ilvl w:val="0"/>
          <w:numId w:val="2"/>
        </w:numPr>
      </w:pPr>
      <w:r>
        <w:t xml:space="preserve">Test environment restored from the anonymised data set.</w:t>
      </w:r>
    </w:p>
    <w:p>
      <w:pPr>
        <w:pStyle w:val="ListParagraph"/>
        <w:numPr>
          <w:ilvl w:val="0"/>
          <w:numId w:val="2"/>
        </w:numPr>
      </w:pPr>
      <w:r>
        <w:t xml:space="preserve">Acceptance test suite executed without critical defects.</w:t>
      </w:r>
    </w:p>
    <w:p>
      <w:pPr>
        <w:pStyle w:val="ListParagraph"/>
        <w:numPr>
          <w:ilvl w:val="0"/>
          <w:numId w:val="2"/>
        </w:numPr>
      </w:pPr>
      <w:r>
        <w:t xml:space="preserve">Operating documentation handed over in English.</w:t>
      </w:r>
    </w:p>
    <w:p>
      <w:pPr>
        <w:pStyle w:val="Heading2"/>
      </w:pPr>
      <w:r>
        <w:t xml:space="preserve">7. Confidentiality and Personal Data</w:t>
      </w:r>
    </w:p>
    <w:p>
      <w:r>
        <w:t xml:space="preserve">Each party protects confidential information of the other party and processes personal data only for the purposes of this agreement. The supplier notifies the client of any personal data breach without undue delay.</w:t>
      </w:r>
    </w:p>
    <w:p>
      <w:pPr>
        <w:pStyle w:val="Heading2"/>
      </w:pPr>
      <w:r>
        <w:t xml:space="preserve">8. Term and Termination</w:t>
      </w:r>
    </w:p>
    <w:p>
      <w:r>
        <w:t xml:space="preserve">The agreement is concluded for twenty-four months from the acceptance of the first milestone. Either party may terminate for material breach that is not remedied within thirty days of written notice.</w:t>
      </w:r>
    </w:p>
    <w:p>
      <w:pPr>
        <w:pStyle w:val="Heading2"/>
      </w:pPr>
      <w:r>
        <w:t xml:space="preserve">9. Final Provisions</w:t>
      </w:r>
    </w:p>
    <w:p>
      <w:r>
        <w:t xml:space="preserve">This agreement is signed electronically on </w:t>
      </w:r>
      <w:fldSimple w:instr=" DATE \@ &quot;d MMMM yyyy&quot; ">
        <w:r>
          <w:t xml:space="preserve">7 September 2026</w:t>
        </w:r>
      </w:fldSimple>
      <w:r>
        <w:t xml:space="preserve"> in two counterparts</w:t>
      </w:r>
      <w:r>
        <w:rPr>
          <w:rStyle w:val="FootnoteReference"/>
        </w:rPr>
        <w:footnoteReference w:id="4"/>
      </w:r>
      <w:r>
        <w:t xml:space="preserve">.</w:t>
      </w:r>
    </w:p>
    <w:p>
      <w:pPr>
        <w:pStyle w:val="Heading2"/>
      </w:pPr>
      <w:r>
        <w:t xml:space="preserve">Annex 1 — Architecture Overview</w:t>
      </w:r>
    </w:p>
    <w:p>
      <w:r>
        <w:t xml:space="preserve">The diagram below shows the platform components covered by this agreement.</w:t>
      </w:r>
    </w:p>
    <w:p>
      <w:r>
        <w:drawing>
          <wp:inline distT="0" distB="0" distL="0" distR="0">
            <wp:extent cx="914400" cy="914400"/>
            <wp:effectExtent l="0" t="0" r="0" b="0"/>
            <wp:docPr id="20" name="architecture.png" descr="Architecture overview of the reporting platform"/>
            <wp:cNvGraphicFramePr>
              <a:graphicFrameLocks noChangeAspect="1"/>
            </wp:cNvGraphicFramePr>
            <a:graphic>
              <a:graphicData uri="http://schemas.openxmlformats.org/drawingml/2006/picture">
                <pic:pic>
                  <pic:nvPicPr>
                    <pic:cNvPr id="20" name="architecture.png" descr="Architecture overview of the reporting platform"/>
                    <pic:cNvPicPr/>
                  </pic:nvPicPr>
                  <pic:blipFill>
                    <a:blip r:embed="rId7"/>
                    <a:stretch>
                      <a:fillRect/>
                    </a:stretch>
                  </pic:blipFill>
                  <pic:spPr>
                    <a:xfrm>
                      <a:off x="0" y="0"/>
                      <a:ext cx="914400" cy="914400"/>
                    </a:xfrm>
                    <a:prstGeom prst="rect">
                      <a:avLst/>
                    </a:prstGeom>
                  </pic:spPr>
                </pic:pic>
              </a:graphicData>
            </a:graphic>
          </wp:inline>
        </w:drawing>
      </w:r>
    </w:p>
    <w:sdt>
      <w:sdtPr>
        <w:alias w:val="Signature block"/>
        <w:tag w:val="signatureBlock"/>
        <w:id w:val="123456789"/>
        <w:text/>
      </w:sdtPr>
      <w:sdtContent>
        <w:p>
          <w:r>
            <w:t xml:space="preserve">For the client:</w:t>
          </w:r>
          <w:r>
            <w:tab/>
          </w:r>
          <w:r>
            <w:t xml:space="preserve">For the supplier:</w:t>
          </w:r>
        </w:p>
        <w:p>
          <w:r>
            <w:t xml:space="preserve">Jordan Ellis</w:t>
          </w:r>
          <w:r>
            <w:tab/>
          </w:r>
          <w:r>
            <w:t xml:space="preserve">Priya Raman</w:t>
          </w:r>
        </w:p>
      </w:sdtContent>
    </w:sdt>
    <w:sectPr>
      <w:headerReference w:type="first" r:id="rId3"/>
      <w:headerReference w:type="default" r:id="rId2"/>
      <w:footerReference w:type="default" r:id="rId4"/>
      <w:pgSz w:w="11906" w:h="16838"/>
      <w:pgMar w:top="1417" w:right="1417" w:bottom="1417" w:left="1417"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p>
    <w:r>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9</w:t>
    </w:r>
    <w:r>
      <w:fldChar w:fldCharType="end"/>
    </w:r>
    <w:r>
      <w:tab/>
    </w:r>
    <w:r>
      <w:t xml:space="preserve">Restricted distribution</w: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footnote w:type="separator" w:id="-1">
    <w:p>
      <w:r>
        <w:separator/>
      </w:r>
    </w:p>
  </w:footnote>
  <w:footnote w:type="continuationSeparator" w:id="0">
    <w:p>
      <w:r>
        <w:continuationSeparator/>
      </w:r>
    </w:p>
  </w:footnote>
  <w:footnote w:id="2">
    <w:p>
      <w:pPr>
        <w:pStyle w:val="FootnoteText"/>
      </w:pPr>
      <w:r>
        <w:t xml:space="preserve">Annex 1 prevails over the body of the agreement in technical matters.</w:t>
      </w:r>
    </w:p>
  </w:footnote>
  <w:footnote w:id="3">
    <w:p>
      <w:pPr>
        <w:pStyle w:val="FootnoteText"/>
      </w:pPr>
      <w:r>
        <w:t xml:space="preserve">Indexation may be agreed for the second contract year by written amendment.</w:t>
      </w:r>
    </w:p>
  </w:footnote>
  <w:footnote w:id="4">
    <w:p>
      <w:pPr>
        <w:pStyle w:val="FootnoteText"/>
      </w:pPr>
      <w:r>
        <w:t xml:space="preserve">Each party receives one signed counterpart.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p>
    <w:r>
      <w:t xml:space="preserve">Service Agreement NS-2026-0147</w:t>
    </w:r>
    <w:r>
      <w:tab/>
    </w:r>
    <w:r>
      <w:t xml:space="preserve">Harbour City Council</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p>
    <w:r>
      <w:drawing>
        <wp:inline distT="0" distB="0" distL="0" distR="0">
          <wp:extent cx="914400" cy="914400"/>
          <wp:effectExtent l="0" t="0" r="0" b="0"/>
          <wp:docPr id="30" name="logo.png" descr="Northwind Services logo"/>
          <wp:cNvGraphicFramePr>
            <a:graphicFrameLocks noChangeAspect="1"/>
          </wp:cNvGraphicFramePr>
          <a:graphic>
            <a:graphicData uri="http://schemas.openxmlformats.org/drawingml/2006/picture">
              <pic:pic>
                <pic:nvPicPr>
                  <pic:cNvPr id="30" name="logo.png" descr="Northwind Services logo"/>
                  <pic:cNvPicPr/>
                </pic:nvPicPr>
                <pic:blipFill>
                  <a:blip r:embed="rId1"/>
                  <a:stretch>
                    <a:fillRect/>
                  </a:stretch>
                </pic:blipFill>
                <pic:spPr>
                  <a:xfrm>
                    <a:off x="0" y="0"/>
                    <a:ext cx="914400" cy="914400"/>
                  </a:xfrm>
                  <a:prstGeom prst="rect">
                    <a:avLst/>
                  </a:prstGeom>
                </pic:spPr>
              </pic:pic>
            </a:graphicData>
          </a:graphic>
        </wp:inline>
      </w:drawing>
    </w:r>
  </w:p>
  <w:p>
    <w:r>
      <w:t xml:space="preserve">Northwind Services Ltd. — Reporting Platform</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s="http://schemas.microsoft.com/office/word/2010/wordprocessingShape" xmlns:w14="http://schemas.microsoft.com/office/word/2010/wordml" mc:Ignorable="w14 wps">
  <w:abstractNum w:abstractNumId="0">
    <w:multiLevelType w:val="multilevel"/>
    <w:lvl w:ilvl="0">
      <w:start w:val="1"/>
      <w:numFmt w:val="decimal"/>
      <w:lvlText w:val="%1."/>
    </w:lvl>
    <w:lvl w:ilvl="1">
      <w:start w:val="1"/>
      <w:numFmt w:val="lowerLetter"/>
      <w:lvlText w:val="%2)"/>
    </w:lvl>
    <w:lvl w:ilvl="2">
      <w:start w:val="1"/>
      <w:numFmt w:val="lowerRoman"/>
      <w:lvlText w:val="%3."/>
    </w:lvl>
  </w:abstractNum>
  <w:abstractNum w:abstractNumId="1">
    <w:multiLevelType w:val="hybridMultilevel"/>
    <w:lvl w:ilvl="0">
      <w:start w:val="1"/>
      <w:numFmt w:val="bullet"/>
      <w:lvlText w:val="•"/>
    </w:lvl>
    <w:lvl w:ilvl="1">
      <w:start w:val="1"/>
      <w:numFmt w:val="bullet"/>
      <w:lvlText w:val="◦"/>
    </w:lvl>
  </w:abstractNum>
  <w:num w:numId="1">
    <w:abstractNumId w:val="0"/>
  </w:num>
  <w:num w:numId="2">
    <w:abstractNumId w:val="1"/>
  </w:num>
  <w:num w:numId="3">
    <w:abstractNumId w:val="0"/>
    <w:lvlOverride w:ilvl="0">
      <w:startOverride w:val="5"/>
    </w:lvlOverride>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hyperlink" Target="https://example.com/tender/NS-2026-0147" TargetMode="External"/><Relationship Id="rId7" Type="http://schemas.openxmlformats.org/officeDocument/2006/relationships/image" Target="media/architecture.png"/></Relationships>
</file>

<file path=word/_rels/header2.xml.rels><?xml version="1.0" encoding="UTF-8" standalone="yes"?>
<Relationships xmlns="http://schemas.openxmlformats.org/package/2006/relationships"><Relationship Id="rId1" Type="http://schemas.openxmlformats.org/officeDocument/2006/relationships/image" Target="media/logo.png"/></Relationships>
</file>