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Quarterly Service Report</w:t>
      </w:r>
    </w:p>
    <w:p>
      <w:r>
        <w:t xml:space="preserve">This fixture covers ordinary paragraphs, headings, tabs, line breaks, and basic run formatting.</w:t>
      </w:r>
    </w:p>
    <w:p>
      <w:r>
        <w:rPr>
          <w:b/>
        </w:rPr>
        <w:t xml:space="preserve">Bold text</w:t>
      </w:r>
      <w:r>
        <w:t xml:space="preserve">, </w:t>
      </w:r>
      <w:r>
        <w:rPr>
          <w:i/>
        </w:rPr>
        <w:t xml:space="preserve">italic text</w:t>
      </w:r>
      <w:r>
        <w:t xml:space="preserve">, and </w:t>
      </w:r>
      <w:r>
        <w:rPr>
          <w:u w:val="single"/>
        </w:rPr>
        <w:t xml:space="preserve">underlined text</w:t>
      </w:r>
      <w:r>
        <w:t xml:space="preserve"> appear in one paragraph.</w:t>
      </w:r>
    </w:p>
    <w:p>
      <w:r>
        <w:t xml:space="preserve">Region</w:t>
      </w:r>
      <w:r>
        <w:tab/>
      </w:r>
      <w:r>
        <w:t xml:space="preserve">Contact</w:t>
      </w:r>
      <w:r>
        <w:tab/>
      </w:r>
      <w:r>
        <w:t xml:space="preserve">Status</w:t>
      </w:r>
    </w:p>
    <w:p>
      <w:r>
        <w:t xml:space="preserve">First line of the address.</w:t>
      </w:r>
      <w:r>
        <w:br/>
      </w:r>
      <w:r>
        <w:t xml:space="preserve">Second line after an explicit break.</w:t>
      </w:r>
    </w:p>
    <w:p>
      <w:pPr>
        <w:pStyle w:val="Heading2"/>
      </w:pPr>
      <w:r>
        <w:t xml:space="preserve">Scope of Work</w:t>
      </w:r>
    </w:p>
    <w:p>
      <w:r>
        <w:t xml:space="preserve">The supplier provides onboarding, configuration, and training services for the reporting platform.</w:t>
      </w:r>
    </w:p>
    <w:p>
      <w:pPr>
        <w:pStyle w:val="Heading3"/>
      </w:pPr>
      <w:r>
        <w:t xml:space="preserve">Deliverables</w:t>
      </w:r>
    </w:p>
    <w:p>
      <w:r>
        <w:t xml:space="preserve">A signed acceptance protocol closes every delivery milestone.</w:t>
      </w:r>
    </w:p>
    <w:p>
      <w:r>
        <w:t xml:space="preserve">See the </w:t>
      </w:r>
      <w:hyperlink r:id="rId1">
        <w:r>
          <w:rPr>
            <w:u w:val="single"/>
          </w:rPr>
          <w:t xml:space="preserve">project documentation</w:t>
        </w:r>
      </w:hyperlink>
      <w:r>
        <w:t xml:space="preserve"> for the full specification.</w:t>
      </w:r>
    </w:p>
    <w:p>
      <w:r>
        <w:t xml:space="preserve">Jump to the </w:t>
      </w:r>
      <w:hyperlink w:anchor="appendix">
        <w:r>
          <w:t xml:space="preserve">appendix</w:t>
        </w:r>
      </w:hyperlink>
      <w:r>
        <w:t xml:space="preserve">.</w:t>
      </w:r>
    </w:p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com/docs/reporting-platform" TargetMode="External"/></Relationships>
</file>