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International Characters and Whitespace</w:t>
      </w:r>
    </w:p>
    <w:p>
      <w:r>
        <w:t xml:space="preserve">The supplier is registered as Ångström Systems Ltd.</w:t>
      </w:r>
    </w:p>
    <w:p>
      <w:r>
        <w:t xml:space="preserve">Leading and trailing spaces </w:t>
      </w:r>
      <w:r>
        <w:t xml:space="preserve"> are preserved across </w:t>
      </w:r>
      <w:r>
        <w:t xml:space="preserve"> adjacent runs.</w:t>
      </w:r>
    </w:p>
    <w:p>
      <w:r>
        <w:t xml:space="preserve">Names with diacritics: José Almeida, Zoë Bjärk, François Muller, Andrzej Wójcik.</w:t>
      </w:r>
    </w:p>
    <w:p>
      <w:r>
        <w:t xml:space="preserve">Currency and punctuation: EUR 1 250,50 — GBP 980.00 – “quoted term” … 50 %.</w:t>
      </w:r>
    </w:p>
    <w:p>
      <w:r>
        <w:t xml:space="preserve">Symbols and scripts: © 2026, µs latency, Ω resistance, 年度报告, مرحبا.</w:t>
      </w:r>
    </w:p>
    <w:p>
      <w:r>
        <w:t xml:space="preserve">A non-breaking space keeps the unit together: 12 kW.</w:t>
      </w:r>
    </w:p>
    <w:sectPr>
      <w:pgSz w:w="11906" w:h="16838"/>
      <w:pgMar w:top="1417" w:right="1417" w:bottom="1417" w:left="1417" w:header="708" w:footer="708" w:gutter="0"/>
    </w:sectPr>
  </w:body>
</w:document>
</file>