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00"/>
        <w:jc w:val="center"/>
      </w:pPr>
      <w:r>
        <w:rPr>
          <w:rFonts w:ascii="Arial" w:cs="Arial" w:eastAsia="Arial" w:hAnsi="Arial"/>
          <w:b/>
          <w:bCs/>
          <w:color w:val="1E3A5F"/>
          <w:sz w:val="36"/>
          <w:szCs w:val="36"/>
        </w:rPr>
        <w:t xml:space="preserve">MV-LocalDPO：面向自动驾驶视频生成的几何感知多视图局部偏好优化</w:t>
      </w:r>
    </w:p>
    <w:p>
      <w:pPr>
        <w:spacing w:before="80" w:after="80"/>
        <w:jc w:val="center"/>
      </w:pPr>
      <w:r>
        <w:rPr>
          <w:rFonts w:ascii="Arial" w:cs="Arial" w:eastAsia="Arial" w:hAnsi="Arial"/>
          <w:color w:val="6B7280"/>
          <w:sz w:val="22"/>
          <w:szCs w:val="22"/>
        </w:rPr>
        <w:t xml:space="preserve">匿名作者</w:t>
      </w:r>
    </w:p>
    <w:p>
      <w:pPr>
        <w:spacing w:before="40" w:after="320"/>
        <w:jc w:val="center"/>
      </w:pPr>
      <w:r>
        <w:rPr>
          <w:rFonts w:ascii="Arial" w:cs="Arial" w:eastAsia="Arial" w:hAnsi="Arial"/>
          <w:i/>
          <w:iCs/>
          <w:color w:val="6B7280"/>
          <w:sz w:val="22"/>
          <w:szCs w:val="22"/>
        </w:rPr>
        <w:t xml:space="preserve">投稿至 CVPR 2026</w:t>
      </w:r>
    </w:p>
    <w:p>
      <w:pPr>
        <w:spacing w:before="0" w:after="80"/>
        <w:jc w:val="center"/>
      </w:pPr>
      <w:r>
        <w:rPr>
          <w:rFonts w:ascii="Arial" w:cs="Arial" w:eastAsia="Arial" w:hAnsi="Arial"/>
          <w:b/>
          <w:bCs/>
          <w:color w:val="1E3A5F"/>
          <w:sz w:val="28"/>
          <w:szCs w:val="28"/>
        </w:rPr>
        <w:t xml:space="preserve">摘要</w:t>
      </w:r>
    </w:p>
    <w:p>
      <w:pPr>
        <w:spacing w:before="60" w:after="60" w:line="276"/>
        <w:ind w:left="720" w:right="720"/>
        <w:jc w:val="both"/>
      </w:pPr>
      <w:r>
        <w:rPr>
          <w:rFonts w:ascii="Arial" w:cs="Arial" w:eastAsia="Arial" w:hAnsi="Arial"/>
          <w:sz w:val="21"/>
          <w:szCs w:val="21"/>
        </w:rPr>
        <w:t xml:space="preserve">为自动驾驶生成几何一致的多视图视频仍然是一个核心挑战。现有基于扩散模型的方法缺乏将多视图几何一致性与人类偏好信号显式对齐的机制。我们提出 MV-LocalDPO，一个几何感知的局部直接偏好优化框架，集成了三项核心创新：(1) 结合运动感知检测与贝塞尔轨迹多视角投影的三维时空一致多视图掩码生成器；(2) VGGT几何适配器，将冻结的视觉几何基础Transformer特征蒸馏为紧凑的latent token，通过零初始化门控的几何引导自适应调制（GAM）机制注入扩散骨干网络；(3) 具有动态噪声级权重和EMA参考策略的区域感知DPO损失。在nuScenes基准测试上，MV-LocalDPO相比MagicDriveV2基线实现了FID降低12.4%、FVD降低13.6%、mAP提升6.6%、多视图一致性（MV-SSIM）提升5.4%，同时三维深度误差（AbsRel）降低18.4%，建立了自动驾驶视频生成的新最先进水平。</w:t>
      </w:r>
    </w:p>
    <w:p>
      <w:pPr>
        <w:pBdr>
          <w:bottom w:val="single" w:color="CBD5E1" w:sz="4"/>
        </w:pBdr>
        <w:spacing w:before="100" w:after="100"/>
      </w:pPr>
      <w:r>
        <w:t xml:space="preserve"/>
      </w:r>
    </w:p>
    <w:p>
      <w:pPr>
        <w:pStyle w:val="Heading1"/>
        <w:spacing w:before="280" w:after="140"/>
      </w:pPr>
      <w:r>
        <w:rPr>
          <w:rFonts w:ascii="Arial" w:cs="Arial" w:eastAsia="Arial" w:hAnsi="Arial"/>
          <w:b/>
          <w:bCs/>
          <w:color w:val="1E3A5F"/>
          <w:sz w:val="30"/>
          <w:szCs w:val="30"/>
        </w:rPr>
        <w:t xml:space="preserve">3. 方法</w:t>
      </w:r>
    </w:p>
    <w:p>
      <w:pPr>
        <w:spacing w:before="60" w:after="100"/>
        <w:jc w:val="both"/>
      </w:pPr>
      <w:r>
        <w:rPr>
          <w:rFonts w:ascii="Arial" w:cs="Arial" w:eastAsia="Arial" w:hAnsi="Arial"/>
          <w:sz w:val="22"/>
          <w:szCs w:val="22"/>
        </w:rPr>
        <w:t xml:space="preserve">我们提出 MV-LocalDPO，一个以几何感知局部偏好优化增强预训练多视图视频扩散模型的框架。整体流程（图1）包含四个阶段：(i) 多视图一致掩码生成；(ii) 局部腐败与恢复构造负样本；(iii) 带VGGT几何注入（通过GAM）的策略模型前向传播；(iv) 区域感知DPO损失计算。</w:t>
      </w:r>
    </w:p>
    <w:p>
      <w:pPr>
        <w:pStyle w:val="Heading2"/>
        <w:spacing w:before="220" w:after="100"/>
      </w:pPr>
      <w:r>
        <w:rPr>
          <w:rFonts w:ascii="Arial" w:cs="Arial" w:eastAsia="Arial" w:hAnsi="Arial"/>
          <w:b/>
          <w:bCs/>
          <w:color w:val="1D4ED8"/>
          <w:sz w:val="26"/>
          <w:szCs w:val="26"/>
        </w:rPr>
        <w:t xml:space="preserve">3.1  整流流统一噪声调度</w:t>
      </w:r>
    </w:p>
    <w:p>
      <w:pPr>
        <w:spacing w:before="60" w:after="100"/>
        <w:jc w:val="both"/>
      </w:pPr>
      <w:r>
        <w:rPr>
          <w:rFonts w:ascii="Arial" w:cs="Arial" w:eastAsia="Arial" w:hAnsi="Arial"/>
          <w:sz w:val="22"/>
          <w:szCs w:val="22"/>
        </w:rPr>
        <w:t xml:space="preserve">本框架构建于采用整流流（Rectified Flow, RFlow）调度器的MagicDriveV2之上。关键要求是</w:t>
      </w:r>
      <w:r>
        <w:rPr>
          <w:rFonts w:ascii="Arial" w:cs="Arial" w:eastAsia="Arial" w:hAnsi="Arial"/>
          <w:b/>
          <w:bCs/>
          <w:color w:val="1E3A5F"/>
          <w:sz w:val="22"/>
          <w:szCs w:val="22"/>
        </w:rPr>
        <w:t xml:space="preserve">所有模块共享相同的噪声公式</w:t>
      </w:r>
      <w:r>
        <w:rPr>
          <w:rFonts w:ascii="Arial" w:cs="Arial" w:eastAsia="Arial" w:hAnsi="Arial"/>
          <w:sz w:val="22"/>
          <w:szCs w:val="22"/>
        </w:rPr>
        <w:t xml:space="preserve">。RFlow前向过程定义为：</w:t>
      </w:r>
    </w:p>
    <w:p>
      <w:pPr>
        <w:spacing w:before="100" w:after="100"/>
        <w:jc w:val="center"/>
      </w:pPr>
      <w:r>
        <w:rPr>
          <w:rFonts w:ascii="Courier New" w:cs="Courier New" w:eastAsia="Courier New" w:hAnsi="Courier New"/>
          <w:color w:val="6D28D9"/>
          <w:sz w:val="22"/>
          <w:szCs w:val="22"/>
        </w:rPr>
        <w:t xml:space="preserve">x_t = α_t · x₀ + (1 − α_t) · ε,    α_t = 1 − t/T ∈ (0, 1],    ε ~ 𝒩(0, I)</w:t>
      </w:r>
    </w:p>
    <w:p>
      <w:pPr>
        <w:spacing w:before="60" w:after="100"/>
        <w:jc w:val="both"/>
      </w:pPr>
      <w:r>
        <w:rPr>
          <w:rFonts w:ascii="Arial" w:cs="Arial" w:eastAsia="Arial" w:hAnsi="Arial"/>
          <w:sz w:val="22"/>
          <w:szCs w:val="22"/>
        </w:rPr>
        <w:t xml:space="preserve">模型被训练预测速度</w:t>
      </w:r>
      <w:r>
        <w:rPr>
          <w:rFonts w:ascii="Courier New" w:cs="Courier New" w:eastAsia="Courier New" w:hAnsi="Courier New"/>
          <w:color w:val="6D28D9"/>
          <w:sz w:val="22"/>
          <w:szCs w:val="22"/>
        </w:rPr>
        <w:t xml:space="preserve">v ≈ x₀ − ε</w:t>
      </w:r>
      <w:r>
        <w:rPr>
          <w:rFonts w:ascii="Arial" w:cs="Arial" w:eastAsia="Arial" w:hAnsi="Arial"/>
          <w:sz w:val="22"/>
          <w:szCs w:val="22"/>
        </w:rPr>
        <w:t xml:space="preserve">，从而可通过</w:t>
      </w:r>
      <w:r>
        <w:rPr>
          <w:rFonts w:ascii="Arial" w:cs="Arial" w:eastAsia="Arial" w:hAnsi="Arial"/>
          <w:b/>
          <w:bCs/>
          <w:color w:val="1E3A5F"/>
          <w:sz w:val="22"/>
          <w:szCs w:val="22"/>
        </w:rPr>
        <w:t xml:space="preserve">一致的RFlow逆过程</w:t>
      </w:r>
      <w:r>
        <w:rPr>
          <w:rFonts w:ascii="Arial" w:cs="Arial" w:eastAsia="Arial" w:hAnsi="Arial"/>
          <w:sz w:val="22"/>
          <w:szCs w:val="22"/>
        </w:rPr>
        <w:t xml:space="preserve">恢复x₀：</w:t>
      </w:r>
    </w:p>
    <w:p>
      <w:pPr>
        <w:spacing w:before="100" w:after="100"/>
        <w:jc w:val="center"/>
      </w:pPr>
      <w:r>
        <w:rPr>
          <w:rFonts w:ascii="Courier New" w:cs="Courier New" w:eastAsia="Courier New" w:hAnsi="Courier New"/>
          <w:color w:val="6D28D9"/>
          <w:sz w:val="22"/>
          <w:szCs w:val="22"/>
        </w:rPr>
        <w:t xml:space="preserve">x̂₀ = x_t + (1 − α_t) · v_pred</w:t>
      </w:r>
    </w:p>
    <w:p>
      <w:pPr>
        <w:spacing w:before="60" w:after="100"/>
        <w:jc w:val="both"/>
      </w:pPr>
      <w:r>
        <w:rPr>
          <w:rFonts w:ascii="Arial" w:cs="Arial" w:eastAsia="Arial" w:hAnsi="Arial"/>
          <w:sz w:val="22"/>
          <w:szCs w:val="22"/>
        </w:rPr>
        <w:t xml:space="preserve">前期实现存在关键错误：腐败模块使用DDPM调度（</w:t>
      </w:r>
      <w:r>
        <w:rPr>
          <w:rFonts w:ascii="Courier New" w:cs="Courier New" w:eastAsia="Courier New" w:hAnsi="Courier New"/>
          <w:color w:val="6D28D9"/>
          <w:sz w:val="22"/>
          <w:szCs w:val="22"/>
        </w:rPr>
        <w:t xml:space="preserve">x_t = √ᾱ_t · x₀ + √(1−ᾱ_t) · ε</w:t>
      </w:r>
      <w:r>
        <w:rPr>
          <w:rFonts w:ascii="Arial" w:cs="Arial" w:eastAsia="Arial" w:hAnsi="Arial"/>
          <w:sz w:val="22"/>
          <w:szCs w:val="22"/>
        </w:rPr>
        <w:t xml:space="preserve">），而主框架使用RFlow。此根本性不一致导致样本分布不兼容，使DPO训练在理论上不可靠。我们的修复将所有噪声操作统一到RFlow公式下，确保DPO三元组（偏好样本、拒绝样本、参考样本）均驻留于相同的隐空间。</w:t>
      </w:r>
    </w:p>
    <w:p>
      <w:pPr>
        <w:pStyle w:val="Heading2"/>
        <w:spacing w:before="220" w:after="100"/>
      </w:pPr>
      <w:r>
        <w:rPr>
          <w:rFonts w:ascii="Arial" w:cs="Arial" w:eastAsia="Arial" w:hAnsi="Arial"/>
          <w:b/>
          <w:bCs/>
          <w:color w:val="1D4ED8"/>
          <w:sz w:val="26"/>
          <w:szCs w:val="26"/>
        </w:rPr>
        <w:t xml:space="preserve">3.2  多视图一致掩码生成</w:t>
      </w:r>
    </w:p>
    <w:p>
      <w:pPr>
        <w:spacing w:before="60" w:after="100"/>
        <w:jc w:val="both"/>
      </w:pPr>
      <w:r>
        <w:rPr>
          <w:rFonts w:ascii="Arial" w:cs="Arial" w:eastAsia="Arial" w:hAnsi="Arial"/>
          <w:sz w:val="22"/>
          <w:szCs w:val="22"/>
        </w:rPr>
        <w:t xml:space="preserve">有效的局部DPO需要在所有NC个相机视图中一致的、具有语义意义的掩码。我们提出两种互补的掩码策略：</w:t>
      </w:r>
    </w:p>
    <w:p>
      <w:pPr>
        <w:pStyle w:val="Heading3"/>
        <w:spacing w:before="160" w:after="80"/>
      </w:pPr>
      <w:r>
        <w:rPr>
          <w:rFonts w:ascii="Arial" w:cs="Arial" w:eastAsia="Arial" w:hAnsi="Arial"/>
          <w:b/>
          <w:bCs/>
          <w:color w:val="374151"/>
          <w:sz w:val="24"/>
          <w:szCs w:val="24"/>
        </w:rPr>
        <w:t xml:space="preserve">3.2.1  运动感知掩码生成器</w:t>
      </w:r>
    </w:p>
    <w:p>
      <w:pPr>
        <w:spacing w:before="60" w:after="100"/>
        <w:jc w:val="both"/>
      </w:pPr>
      <w:r>
        <w:rPr>
          <w:rFonts w:ascii="Arial" w:cs="Arial" w:eastAsia="Arial" w:hAnsi="Arial"/>
          <w:sz w:val="22"/>
          <w:szCs w:val="22"/>
        </w:rPr>
        <w:t xml:space="preserve">给定多视图视频</w:t>
      </w:r>
      <w:r>
        <w:rPr>
          <w:rFonts w:ascii="Courier New" w:cs="Courier New" w:eastAsia="Courier New" w:hAnsi="Courier New"/>
          <w:color w:val="6D28D9"/>
          <w:sz w:val="22"/>
          <w:szCs w:val="22"/>
        </w:rPr>
        <w:t xml:space="preserve">x₀ ∈ ℝ^{B×NC×C×T×H×W}</w:t>
      </w:r>
      <w:r>
        <w:rPr>
          <w:rFonts w:ascii="Arial" w:cs="Arial" w:eastAsia="Arial" w:hAnsi="Arial"/>
          <w:sz w:val="22"/>
          <w:szCs w:val="22"/>
        </w:rPr>
        <w:t xml:space="preserve">，我们通过时序帧差估计逐像素运动幅度：</w:t>
      </w:r>
    </w:p>
    <w:p>
      <w:pPr>
        <w:spacing w:before="100" w:after="100"/>
        <w:jc w:val="center"/>
      </w:pPr>
      <w:r>
        <w:rPr>
          <w:rFonts w:ascii="Courier New" w:cs="Courier New" w:eastAsia="Courier New" w:hAnsi="Courier New"/>
          <w:color w:val="6D28D9"/>
          <w:sz w:val="22"/>
          <w:szCs w:val="22"/>
        </w:rPr>
        <w:t xml:space="preserve">Δ_{t,h,w} = |x₀[:,:,:,t,:,:] − x₀[:,:,:,t−1,:,:]|</w:t>
      </w:r>
    </w:p>
    <w:p>
      <w:pPr>
        <w:spacing w:before="60" w:after="100"/>
        <w:jc w:val="both"/>
      </w:pPr>
      <w:r>
        <w:rPr>
          <w:rFonts w:ascii="Arial" w:cs="Arial" w:eastAsia="Arial" w:hAnsi="Arial"/>
          <w:sz w:val="22"/>
          <w:szCs w:val="22"/>
        </w:rPr>
        <w:t xml:space="preserve">幅度逐样本归一化，并以τ=0.6进行阈值化生成二值运动图。随后在检测到的运动中心放置轴对齐矩形掩码，尺寸从</w:t>
      </w:r>
      <w:r>
        <w:rPr>
          <w:rFonts w:ascii="Courier New" w:cs="Courier New" w:eastAsia="Courier New" w:hAnsi="Courier New"/>
          <w:color w:val="6D28D9"/>
          <w:sz w:val="22"/>
          <w:szCs w:val="22"/>
        </w:rPr>
        <w:t xml:space="preserve">r ∈ [0.1, 0.25]</w:t>
      </w:r>
      <w:r>
        <w:rPr>
          <w:rFonts w:ascii="Arial" w:cs="Arial" w:eastAsia="Arial" w:hAnsi="Arial"/>
          <w:sz w:val="22"/>
          <w:szCs w:val="22"/>
        </w:rPr>
        <w:t xml:space="preserve">（图像尺寸比例）采样，由可学习参数</w:t>
      </w:r>
      <w:r>
        <w:rPr>
          <w:rFonts w:ascii="Courier New" w:cs="Courier New" w:eastAsia="Courier New" w:hAnsi="Courier New"/>
          <w:color w:val="6D28D9"/>
          <w:sz w:val="22"/>
          <w:szCs w:val="22"/>
        </w:rPr>
        <w:t xml:space="preserve">mask_scale</w:t>
      </w:r>
      <w:r>
        <w:rPr>
          <w:rFonts w:ascii="Arial" w:cs="Arial" w:eastAsia="Arial" w:hAnsi="Arial"/>
          <w:sz w:val="22"/>
          <w:szCs w:val="22"/>
        </w:rPr>
        <w:t xml:space="preserve">（通过sigmoid约束）控制。一个关键修复是</w:t>
      </w:r>
      <w:r>
        <w:rPr>
          <w:rFonts w:ascii="Arial" w:cs="Arial" w:eastAsia="Arial" w:hAnsi="Arial"/>
          <w:b/>
          <w:bCs/>
          <w:color w:val="1E3A5F"/>
          <w:sz w:val="22"/>
          <w:szCs w:val="22"/>
        </w:rPr>
        <w:t xml:space="preserve">fallback机制</w:t>
      </w:r>
      <w:r>
        <w:rPr>
          <w:rFonts w:ascii="Arial" w:cs="Arial" w:eastAsia="Arial" w:hAnsi="Arial"/>
          <w:sz w:val="22"/>
          <w:szCs w:val="22"/>
        </w:rPr>
        <w:t xml:space="preserve">：当运动掩码全零（静止或低速场景）时，自动生成占图像面积15%的随机矩形掩码，防止DPO退化为标准扩散损失。</w:t>
      </w:r>
    </w:p>
    <w:p>
      <w:pPr>
        <w:pStyle w:val="Heading3"/>
        <w:spacing w:before="160" w:after="80"/>
      </w:pPr>
      <w:r>
        <w:rPr>
          <w:rFonts w:ascii="Arial" w:cs="Arial" w:eastAsia="Arial" w:hAnsi="Arial"/>
          <w:b/>
          <w:bCs/>
          <w:color w:val="374151"/>
          <w:sz w:val="24"/>
          <w:szCs w:val="24"/>
        </w:rPr>
        <w:t xml:space="preserve">3.2.2  三维时空多视图掩码（核心创新）</w:t>
      </w:r>
    </w:p>
    <w:p>
      <w:pPr>
        <w:spacing w:before="60" w:after="100"/>
        <w:jc w:val="both"/>
      </w:pPr>
      <w:r>
        <w:rPr>
          <w:rFonts w:ascii="Arial" w:cs="Arial" w:eastAsia="Arial" w:hAnsi="Arial"/>
          <w:sz w:val="22"/>
          <w:szCs w:val="22"/>
        </w:rPr>
        <w:t xml:space="preserve">掩码生成的关键创新是确保</w:t>
      </w:r>
      <w:r>
        <w:rPr>
          <w:rFonts w:ascii="Arial" w:cs="Arial" w:eastAsia="Arial" w:hAnsi="Arial"/>
          <w:b/>
          <w:bCs/>
          <w:color w:val="1E3A5F"/>
          <w:sz w:val="22"/>
          <w:szCs w:val="22"/>
        </w:rPr>
        <w:t xml:space="preserve">跨相机视图的三维几何一致性</w:t>
      </w:r>
      <w:r>
        <w:rPr>
          <w:rFonts w:ascii="Arial" w:cs="Arial" w:eastAsia="Arial" w:hAnsi="Arial"/>
          <w:sz w:val="22"/>
          <w:szCs w:val="22"/>
        </w:rPr>
        <w:t xml:space="preserve">。我们在三维世界空间生成贝塞尔轨迹曲线：</w:t>
      </w:r>
    </w:p>
    <w:p>
      <w:pPr>
        <w:spacing w:before="100" w:after="100"/>
        <w:jc w:val="center"/>
      </w:pPr>
      <w:r>
        <w:rPr>
          <w:rFonts w:ascii="Courier New" w:cs="Courier New" w:eastAsia="Courier New" w:hAnsi="Courier New"/>
          <w:color w:val="6D28D9"/>
          <w:sz w:val="22"/>
          <w:szCs w:val="22"/>
        </w:rPr>
        <w:t xml:space="preserve">P(s) = Σᵢ Cᵢ · Bᵢ,n(s),   s ∈ [0,1]</w:t>
      </w:r>
    </w:p>
    <w:p>
      <w:pPr>
        <w:spacing w:before="60" w:after="100"/>
        <w:jc w:val="both"/>
      </w:pPr>
      <w:r>
        <w:rPr>
          <w:rFonts w:ascii="Arial" w:cs="Arial" w:eastAsia="Arial" w:hAnsi="Arial"/>
          <w:sz w:val="22"/>
          <w:szCs w:val="22"/>
        </w:rPr>
        <w:t xml:space="preserve">其中</w:t>
      </w:r>
      <w:r>
        <w:rPr>
          <w:rFonts w:ascii="Courier New" w:cs="Courier New" w:eastAsia="Courier New" w:hAnsi="Courier New"/>
          <w:color w:val="6D28D9"/>
          <w:sz w:val="22"/>
          <w:szCs w:val="22"/>
        </w:rPr>
        <w:t xml:space="preserve">Cᵢ</w:t>
      </w:r>
      <w:r>
        <w:rPr>
          <w:rFonts w:ascii="Arial" w:cs="Arial" w:eastAsia="Arial" w:hAnsi="Arial"/>
          <w:sz w:val="22"/>
          <w:szCs w:val="22"/>
        </w:rPr>
        <w:t xml:space="preserve">为随机采样的三维控制点，</w:t>
      </w:r>
      <w:r>
        <w:rPr>
          <w:rFonts w:ascii="Courier New" w:cs="Courier New" w:eastAsia="Courier New" w:hAnsi="Courier New"/>
          <w:color w:val="6D28D9"/>
          <w:sz w:val="22"/>
          <w:szCs w:val="22"/>
        </w:rPr>
        <w:t xml:space="preserve">Bᵢ,n</w:t>
      </w:r>
      <w:r>
        <w:rPr>
          <w:rFonts w:ascii="Arial" w:cs="Arial" w:eastAsia="Arial" w:hAnsi="Arial"/>
          <w:sz w:val="22"/>
          <w:szCs w:val="22"/>
        </w:rPr>
        <w:t xml:space="preserve">为伯恩斯坦基多项式。每条轨迹使用各相机的内外参矩阵投影到NC个相机平面，生成空间一致的掩码。在掩码边缘应用高斯模糊避免锐利伪影。此方法是</w:t>
      </w:r>
      <w:r>
        <w:rPr>
          <w:rFonts w:ascii="Arial" w:cs="Arial" w:eastAsia="Arial" w:hAnsi="Arial"/>
          <w:b/>
          <w:bCs/>
          <w:color w:val="1E3A5F"/>
          <w:sz w:val="22"/>
          <w:szCs w:val="22"/>
        </w:rPr>
        <w:t xml:space="preserve">首个为自动驾驶视频DPO生成三维一致多视图掩码的工作</w:t>
      </w:r>
      <w:r>
        <w:rPr>
          <w:rFonts w:ascii="Arial" w:cs="Arial" w:eastAsia="Arial" w:hAnsi="Arial"/>
          <w:sz w:val="22"/>
          <w:szCs w:val="22"/>
        </w:rPr>
        <w:t xml:space="preserve">，确保被掩码区域在所有相机视图中对应同一三维物体。</w:t>
      </w:r>
    </w:p>
    <w:p>
      <w:pPr>
        <w:spacing w:before="60" w:after="100"/>
        <w:jc w:val="both"/>
      </w:pPr>
      <w:r>
        <w:rPr>
          <w:rFonts w:ascii="Arial" w:cs="Arial" w:eastAsia="Arial" w:hAnsi="Arial"/>
          <w:sz w:val="22"/>
          <w:szCs w:val="22"/>
        </w:rPr>
        <w:t xml:space="preserve">最终掩码</w:t>
      </w:r>
      <w:r>
        <w:rPr>
          <w:rFonts w:ascii="Courier New" w:cs="Courier New" w:eastAsia="Courier New" w:hAnsi="Courier New"/>
          <w:color w:val="6D28D9"/>
          <w:sz w:val="22"/>
          <w:szCs w:val="22"/>
        </w:rPr>
        <w:t xml:space="preserve">M ∈ {0,1}^{B×NC×1×T×H×W}</w:t>
      </w:r>
      <w:r>
        <w:rPr>
          <w:rFonts w:ascii="Arial" w:cs="Arial" w:eastAsia="Arial" w:hAnsi="Arial"/>
          <w:sz w:val="22"/>
          <w:szCs w:val="22"/>
        </w:rPr>
        <w:t xml:space="preserve">是两种掩码策略的联合，在训练中自适应加权。</w:t>
      </w:r>
    </w:p>
    <w:p>
      <w:pPr>
        <w:pStyle w:val="Heading2"/>
        <w:spacing w:before="220" w:after="100"/>
      </w:pPr>
      <w:r>
        <w:rPr>
          <w:rFonts w:ascii="Arial" w:cs="Arial" w:eastAsia="Arial" w:hAnsi="Arial"/>
          <w:b/>
          <w:bCs/>
          <w:color w:val="1D4ED8"/>
          <w:sz w:val="26"/>
          <w:szCs w:val="26"/>
        </w:rPr>
        <w:t xml:space="preserve">3.3  局部腐败与负样本构造</w:t>
      </w:r>
    </w:p>
    <w:p>
      <w:pPr>
        <w:spacing w:before="60" w:after="100"/>
        <w:jc w:val="both"/>
      </w:pPr>
      <w:r>
        <w:rPr>
          <w:rFonts w:ascii="Arial" w:cs="Arial" w:eastAsia="Arial" w:hAnsi="Arial"/>
          <w:sz w:val="22"/>
          <w:szCs w:val="22"/>
        </w:rPr>
        <w:t xml:space="preserve">给定真实视频</w:t>
      </w:r>
      <w:r>
        <w:rPr>
          <w:rFonts w:ascii="Courier New" w:cs="Courier New" w:eastAsia="Courier New" w:hAnsi="Courier New"/>
          <w:color w:val="6D28D9"/>
          <w:sz w:val="22"/>
          <w:szCs w:val="22"/>
        </w:rPr>
        <w:t xml:space="preserve">x₀</w:t>
      </w:r>
      <w:r>
        <w:rPr>
          <w:rFonts w:ascii="Arial" w:cs="Arial" w:eastAsia="Arial" w:hAnsi="Arial"/>
          <w:sz w:val="22"/>
          <w:szCs w:val="22"/>
        </w:rPr>
        <w:t xml:space="preserve">和掩码</w:t>
      </w:r>
      <w:r>
        <w:rPr>
          <w:rFonts w:ascii="Courier New" w:cs="Courier New" w:eastAsia="Courier New" w:hAnsi="Courier New"/>
          <w:color w:val="6D28D9"/>
          <w:sz w:val="22"/>
          <w:szCs w:val="22"/>
        </w:rPr>
        <w:t xml:space="preserve">M</w:t>
      </w:r>
      <w:r>
        <w:rPr>
          <w:rFonts w:ascii="Arial" w:cs="Arial" w:eastAsia="Arial" w:hAnsi="Arial"/>
          <w:sz w:val="22"/>
          <w:szCs w:val="22"/>
        </w:rPr>
        <w:t xml:space="preserve">，通过两步流程构造负样本：</w:t>
      </w:r>
    </w:p>
    <w:p>
      <w:pPr>
        <w:pStyle w:val="Heading3"/>
        <w:spacing w:before="160" w:after="80"/>
      </w:pPr>
      <w:r>
        <w:rPr>
          <w:rFonts w:ascii="Arial" w:cs="Arial" w:eastAsia="Arial" w:hAnsi="Arial"/>
          <w:b/>
          <w:bCs/>
          <w:color w:val="374151"/>
          <w:sz w:val="24"/>
          <w:szCs w:val="24"/>
        </w:rPr>
        <w:t xml:space="preserve">3.3.1  掩码区域RFlow加噪</w:t>
      </w:r>
    </w:p>
    <w:p>
      <w:pPr>
        <w:spacing w:before="60" w:after="100"/>
        <w:jc w:val="both"/>
      </w:pPr>
      <w:r>
        <w:rPr>
          <w:rFonts w:ascii="Arial" w:cs="Arial" w:eastAsia="Arial" w:hAnsi="Arial"/>
          <w:sz w:val="22"/>
          <w:szCs w:val="22"/>
        </w:rPr>
        <w:t xml:space="preserve">仅在掩码区域添加RFlow噪声。噪声水平</w:t>
      </w:r>
      <w:r>
        <w:rPr>
          <w:rFonts w:ascii="Courier New" w:cs="Courier New" w:eastAsia="Courier New" w:hAnsi="Courier New"/>
          <w:color w:val="6D28D9"/>
          <w:sz w:val="22"/>
          <w:szCs w:val="22"/>
        </w:rPr>
        <w:t xml:space="preserve">t</w:t>
      </w:r>
      <w:r>
        <w:rPr>
          <w:rFonts w:ascii="Arial" w:cs="Arial" w:eastAsia="Arial" w:hAnsi="Arial"/>
          <w:sz w:val="22"/>
          <w:szCs w:val="22"/>
        </w:rPr>
        <w:t xml:space="preserve">从</w:t>
      </w:r>
      <w:r>
        <w:rPr>
          <w:rFonts w:ascii="Courier New" w:cs="Courier New" w:eastAsia="Courier New" w:hAnsi="Courier New"/>
          <w:color w:val="6D28D9"/>
          <w:sz w:val="22"/>
          <w:szCs w:val="22"/>
        </w:rPr>
        <w:t xml:space="preserve">Uniform[T/4, 3T/4]</w:t>
      </w:r>
      <w:r>
        <w:rPr>
          <w:rFonts w:ascii="Arial" w:cs="Arial" w:eastAsia="Arial" w:hAnsi="Arial"/>
          <w:sz w:val="22"/>
          <w:szCs w:val="22"/>
        </w:rPr>
        <w:t xml:space="preserve">采样以针对中等难度腐败：</w:t>
      </w:r>
    </w:p>
    <w:p>
      <w:pPr>
        <w:spacing w:before="100" w:after="100"/>
        <w:jc w:val="center"/>
      </w:pPr>
      <w:r>
        <w:rPr>
          <w:rFonts w:ascii="Courier New" w:cs="Courier New" w:eastAsia="Courier New" w:hAnsi="Courier New"/>
          <w:color w:val="6D28D9"/>
          <w:sz w:val="22"/>
          <w:szCs w:val="22"/>
        </w:rPr>
        <w:t xml:space="preserve">x_t = M · (α_t · x₀ + (1−α_t) · ε) + (1−M) · x₀</w:t>
      </w:r>
    </w:p>
    <w:p>
      <w:pPr>
        <w:pStyle w:val="Heading3"/>
        <w:spacing w:before="160" w:after="80"/>
      </w:pPr>
      <w:r>
        <w:rPr>
          <w:rFonts w:ascii="Arial" w:cs="Arial" w:eastAsia="Arial" w:hAnsi="Arial"/>
          <w:b/>
          <w:bCs/>
          <w:color w:val="374151"/>
          <w:sz w:val="24"/>
          <w:szCs w:val="24"/>
        </w:rPr>
        <w:t xml:space="preserve">3.3.2  冻结参考模型恢复</w:t>
      </w:r>
    </w:p>
    <w:p>
      <w:pPr>
        <w:spacing w:before="60" w:after="100"/>
        <w:jc w:val="both"/>
      </w:pPr>
      <w:r>
        <w:rPr>
          <w:rFonts w:ascii="Arial" w:cs="Arial" w:eastAsia="Arial" w:hAnsi="Arial"/>
          <w:sz w:val="22"/>
          <w:szCs w:val="22"/>
        </w:rPr>
        <w:t xml:space="preserve">策略模型的冻结EMA副本</w:t>
      </w:r>
      <w:r>
        <w:rPr>
          <w:rFonts w:ascii="Courier New" w:cs="Courier New" w:eastAsia="Courier New" w:hAnsi="Courier New"/>
          <w:color w:val="6D28D9"/>
          <w:sz w:val="22"/>
          <w:szCs w:val="22"/>
        </w:rPr>
        <w:t xml:space="preserve">f_θ̄</w:t>
      </w:r>
      <w:r>
        <w:rPr>
          <w:rFonts w:ascii="Arial" w:cs="Arial" w:eastAsia="Arial" w:hAnsi="Arial"/>
          <w:sz w:val="22"/>
          <w:szCs w:val="22"/>
        </w:rPr>
        <w:t xml:space="preserve">对被腐败的掩码区域去噪（对传入参数进行过滤以避免不兼容字段错误）：</w:t>
      </w:r>
    </w:p>
    <w:p>
      <w:pPr>
        <w:spacing w:before="100" w:after="100"/>
        <w:jc w:val="center"/>
      </w:pPr>
      <w:r>
        <w:rPr>
          <w:rFonts w:ascii="Courier New" w:cs="Courier New" w:eastAsia="Courier New" w:hAnsi="Courier New"/>
          <w:color w:val="6D28D9"/>
          <w:sz w:val="22"/>
          <w:szCs w:val="22"/>
        </w:rPr>
        <w:t xml:space="preserve">v_ref = f_θ̄(x_t, t, cond),    x̂₀_ref = x_t + (1−α_t)·v_ref</w:t>
      </w:r>
    </w:p>
    <w:p>
      <w:pPr>
        <w:pStyle w:val="Heading3"/>
        <w:spacing w:before="160" w:after="80"/>
      </w:pPr>
      <w:r>
        <w:rPr>
          <w:rFonts w:ascii="Arial" w:cs="Arial" w:eastAsia="Arial" w:hAnsi="Arial"/>
          <w:b/>
          <w:bCs/>
          <w:color w:val="374151"/>
          <w:sz w:val="24"/>
          <w:szCs w:val="24"/>
        </w:rPr>
        <w:t xml:space="preserve">3.3.3  区域融合</w:t>
      </w:r>
    </w:p>
    <w:p>
      <w:pPr>
        <w:spacing w:before="100" w:after="100"/>
        <w:jc w:val="center"/>
      </w:pPr>
      <w:r>
        <w:rPr>
          <w:rFonts w:ascii="Courier New" w:cs="Courier New" w:eastAsia="Courier New" w:hAnsi="Courier New"/>
          <w:color w:val="6D28D9"/>
          <w:sz w:val="22"/>
          <w:szCs w:val="22"/>
        </w:rPr>
        <w:t xml:space="preserve">x⁻ = M · x̂₀_ref + (1−M) · x₀</w:t>
      </w:r>
    </w:p>
    <w:p>
      <w:pPr>
        <w:spacing w:before="60" w:after="100"/>
        <w:jc w:val="both"/>
      </w:pPr>
      <w:r>
        <w:rPr>
          <w:rFonts w:ascii="Arial" w:cs="Arial" w:eastAsia="Arial" w:hAnsi="Arial"/>
          <w:sz w:val="22"/>
          <w:szCs w:val="22"/>
        </w:rPr>
        <w:t xml:space="preserve">这确保负样本仅在掩码区域与正样本</w:t>
      </w:r>
      <w:r>
        <w:rPr>
          <w:rFonts w:ascii="Courier New" w:cs="Courier New" w:eastAsia="Courier New" w:hAnsi="Courier New"/>
          <w:color w:val="6D28D9"/>
          <w:sz w:val="22"/>
          <w:szCs w:val="22"/>
        </w:rPr>
        <w:t xml:space="preserve">x⁺ = x₀</w:t>
      </w:r>
      <w:r>
        <w:rPr>
          <w:rFonts w:ascii="Arial" w:cs="Arial" w:eastAsia="Arial" w:hAnsi="Arial"/>
          <w:sz w:val="22"/>
          <w:szCs w:val="22"/>
        </w:rPr>
        <w:t xml:space="preserve">不同，提供</w:t>
      </w:r>
      <w:r>
        <w:rPr>
          <w:rFonts w:ascii="Arial" w:cs="Arial" w:eastAsia="Arial" w:hAnsi="Arial"/>
          <w:b/>
          <w:bCs/>
          <w:color w:val="1E3A5F"/>
          <w:sz w:val="22"/>
          <w:szCs w:val="22"/>
        </w:rPr>
        <w:t xml:space="preserve">局部化、可控的偏好信号</w:t>
      </w:r>
      <w:r>
        <w:rPr>
          <w:rFonts w:ascii="Arial" w:cs="Arial" w:eastAsia="Arial" w:hAnsi="Arial"/>
          <w:sz w:val="22"/>
          <w:szCs w:val="22"/>
        </w:rPr>
        <w:t xml:space="preserve">。DPO模型被明确鼓励改善基线模型生成次优输出的精确区域。</w:t>
      </w:r>
    </w:p>
    <w:p>
      <w:pPr>
        <w:pStyle w:val="Heading2"/>
        <w:spacing w:before="220" w:after="100"/>
      </w:pPr>
      <w:r>
        <w:rPr>
          <w:rFonts w:ascii="Arial" w:cs="Arial" w:eastAsia="Arial" w:hAnsi="Arial"/>
          <w:b/>
          <w:bCs/>
          <w:color w:val="1D4ED8"/>
          <w:sz w:val="26"/>
          <w:szCs w:val="26"/>
        </w:rPr>
        <w:t xml:space="preserve">3.4  VGGT几何适配器与GAM</w:t>
      </w:r>
    </w:p>
    <w:p>
      <w:pPr>
        <w:spacing w:before="60" w:after="100"/>
        <w:jc w:val="both"/>
      </w:pPr>
      <w:r>
        <w:rPr>
          <w:rFonts w:ascii="Arial" w:cs="Arial" w:eastAsia="Arial" w:hAnsi="Arial"/>
          <w:sz w:val="22"/>
          <w:szCs w:val="22"/>
        </w:rPr>
        <w:t xml:space="preserve">为融入三维几何理解，我们提出</w:t>
      </w:r>
      <w:r>
        <w:rPr>
          <w:rFonts w:ascii="Arial" w:cs="Arial" w:eastAsia="Arial" w:hAnsi="Arial"/>
          <w:b/>
          <w:bCs/>
          <w:color w:val="1E3A5F"/>
          <w:sz w:val="22"/>
          <w:szCs w:val="22"/>
        </w:rPr>
        <w:t xml:space="preserve">VGGT几何适配器</w:t>
      </w:r>
      <w:r>
        <w:rPr>
          <w:rFonts w:ascii="Arial" w:cs="Arial" w:eastAsia="Arial" w:hAnsi="Arial"/>
          <w:sz w:val="22"/>
          <w:szCs w:val="22"/>
        </w:rPr>
        <w:t xml:space="preserve">，将冻结VGGT视觉特征转化为紧凑的几何latent token，通过新型</w:t>
      </w:r>
      <w:r>
        <w:rPr>
          <w:rFonts w:ascii="Arial" w:cs="Arial" w:eastAsia="Arial" w:hAnsi="Arial"/>
          <w:b/>
          <w:bCs/>
          <w:color w:val="1E3A5F"/>
          <w:sz w:val="22"/>
          <w:szCs w:val="22"/>
        </w:rPr>
        <w:t xml:space="preserve">几何引导自适应调制（GAM）</w:t>
      </w:r>
      <w:r>
        <w:rPr>
          <w:rFonts w:ascii="Arial" w:cs="Arial" w:eastAsia="Arial" w:hAnsi="Arial"/>
          <w:sz w:val="22"/>
          <w:szCs w:val="22"/>
        </w:rPr>
        <w:t xml:space="preserve">机制调制扩散骨干网络。</w:t>
      </w:r>
    </w:p>
    <w:p>
      <w:pPr>
        <w:pStyle w:val="Heading3"/>
        <w:spacing w:before="160" w:after="80"/>
      </w:pPr>
      <w:r>
        <w:rPr>
          <w:rFonts w:ascii="Arial" w:cs="Arial" w:eastAsia="Arial" w:hAnsi="Arial"/>
          <w:b/>
          <w:bCs/>
          <w:color w:val="374151"/>
          <w:sz w:val="24"/>
          <w:szCs w:val="24"/>
        </w:rPr>
        <w:t xml:space="preserve">3.4.1  VGGT几何适配器</w:t>
      </w:r>
    </w:p>
    <w:p>
      <w:pPr>
        <w:spacing w:before="60" w:after="100"/>
        <w:jc w:val="both"/>
      </w:pPr>
      <w:r>
        <w:rPr>
          <w:rFonts w:ascii="Arial" w:cs="Arial" w:eastAsia="Arial" w:hAnsi="Arial"/>
          <w:sz w:val="22"/>
          <w:szCs w:val="22"/>
        </w:rPr>
        <w:t xml:space="preserve">给定首帧图像，冻结的VGGT骨干提取patch token</w:t>
      </w:r>
      <w:r>
        <w:rPr>
          <w:rFonts w:ascii="Courier New" w:cs="Courier New" w:eastAsia="Courier New" w:hAnsi="Courier New"/>
          <w:color w:val="6D28D9"/>
          <w:sz w:val="22"/>
          <w:szCs w:val="22"/>
        </w:rPr>
        <w:t xml:space="preserve">f_vggt ∈ ℝ^{B·NC×P×D_v}</w:t>
      </w:r>
      <w:r>
        <w:rPr>
          <w:rFonts w:ascii="Arial" w:cs="Arial" w:eastAsia="Arial" w:hAnsi="Arial"/>
          <w:sz w:val="22"/>
          <w:szCs w:val="22"/>
        </w:rPr>
        <w:t xml:space="preserve">（</w:t>
      </w:r>
      <w:r>
        <w:rPr>
          <w:rFonts w:ascii="Courier New" w:cs="Courier New" w:eastAsia="Courier New" w:hAnsi="Courier New"/>
          <w:color w:val="6D28D9"/>
          <w:sz w:val="22"/>
          <w:szCs w:val="22"/>
        </w:rPr>
        <w:t xml:space="preserve">D_v = 3072</w:t>
      </w:r>
      <w:r>
        <w:rPr>
          <w:rFonts w:ascii="Arial" w:cs="Arial" w:eastAsia="Arial" w:hAnsi="Arial"/>
          <w:sz w:val="22"/>
          <w:szCs w:val="22"/>
        </w:rPr>
        <w:t xml:space="preserve">）。两阶段压缩模块将其转化为K=16个紧凑几何latent token：</w:t>
      </w:r>
    </w:p>
    <w:p>
      <w:pPr>
        <w:spacing w:before="60" w:after="100"/>
        <w:jc w:val="both"/>
      </w:pPr>
      <w:r>
        <w:rPr>
          <w:rFonts w:ascii="Arial" w:cs="Arial" w:eastAsia="Arial" w:hAnsi="Arial"/>
          <w:b/>
          <w:bCs/>
          <w:color w:val="1E3A5F"/>
          <w:sz w:val="22"/>
          <w:szCs w:val="22"/>
        </w:rPr>
        <w:t xml:space="preserve">线性投影：</w:t>
      </w:r>
      <w:r>
        <w:rPr>
          <w:rFonts w:ascii="Arial" w:cs="Arial" w:eastAsia="Arial" w:hAnsi="Arial"/>
          <w:sz w:val="22"/>
          <w:szCs w:val="22"/>
        </w:rPr>
        <w:t xml:space="preserve">两层MLP将</w:t>
      </w:r>
      <w:r>
        <w:rPr>
          <w:rFonts w:ascii="Courier New" w:cs="Courier New" w:eastAsia="Courier New" w:hAnsi="Courier New"/>
          <w:color w:val="6D28D9"/>
          <w:sz w:val="22"/>
          <w:szCs w:val="22"/>
        </w:rPr>
        <w:t xml:space="preserve">D_v = 3072 → D = 1152</w:t>
      </w:r>
      <w:r>
        <w:rPr>
          <w:rFonts w:ascii="Arial" w:cs="Arial" w:eastAsia="Arial" w:hAnsi="Arial"/>
          <w:sz w:val="22"/>
          <w:szCs w:val="22"/>
        </w:rPr>
        <w:t xml:space="preserve">，将几何特征维度缩减至匹配扩散骨干的隐藏大小。</w:t>
      </w:r>
    </w:p>
    <w:p>
      <w:pPr>
        <w:spacing w:before="60" w:after="100"/>
        <w:jc w:val="both"/>
      </w:pPr>
      <w:r>
        <w:rPr>
          <w:rFonts w:ascii="Arial" w:cs="Arial" w:eastAsia="Arial" w:hAnsi="Arial"/>
          <w:b/>
          <w:bCs/>
          <w:color w:val="1E3A5F"/>
          <w:sz w:val="22"/>
          <w:szCs w:val="22"/>
        </w:rPr>
        <w:t xml:space="preserve">Transformer压缩器：</w:t>
      </w:r>
      <w:r>
        <w:rPr>
          <w:rFonts w:ascii="Arial" w:cs="Arial" w:eastAsia="Arial" w:hAnsi="Arial"/>
          <w:sz w:val="22"/>
          <w:szCs w:val="22"/>
        </w:rPr>
        <w:t xml:space="preserve">K=16个可学习查询token通过2层Transformer编码器（H=16头，FFN维度=4×D）注意投影的patch特征。此类交叉注意力压缩聚合全局几何结构：</w:t>
      </w:r>
    </w:p>
    <w:p>
      <w:pPr>
        <w:spacing w:before="100" w:after="100"/>
        <w:jc w:val="center"/>
      </w:pPr>
      <w:r>
        <w:rPr>
          <w:rFonts w:ascii="Courier New" w:cs="Courier New" w:eastAsia="Courier New" w:hAnsi="Courier New"/>
          <w:color w:val="6D28D9"/>
          <w:sz w:val="22"/>
          <w:szCs w:val="22"/>
        </w:rPr>
        <w:t xml:space="preserve">z_geo = TransformerEncoder([queries; proj(f_vggt)])[:K] ∈ ℝ^{B·NC×K×D}</w:t>
      </w:r>
    </w:p>
    <w:p>
      <w:pPr>
        <w:spacing w:before="60" w:after="100"/>
        <w:jc w:val="both"/>
      </w:pPr>
      <w:r>
        <w:rPr>
          <w:rFonts w:ascii="Arial" w:cs="Arial" w:eastAsia="Arial" w:hAnsi="Arial"/>
          <w:sz w:val="22"/>
          <w:szCs w:val="22"/>
        </w:rPr>
        <w:t xml:space="preserve">对于无分类器引导，当</w:t>
      </w:r>
      <w:r>
        <w:rPr>
          <w:rFonts w:ascii="Courier New" w:cs="Courier New" w:eastAsia="Courier New" w:hAnsi="Courier New"/>
          <w:color w:val="6D28D9"/>
          <w:sz w:val="22"/>
          <w:szCs w:val="22"/>
        </w:rPr>
        <w:t xml:space="preserve">drop_cond = 0</w:t>
      </w:r>
      <w:r>
        <w:rPr>
          <w:rFonts w:ascii="Arial" w:cs="Arial" w:eastAsia="Arial" w:hAnsi="Arial"/>
          <w:sz w:val="22"/>
          <w:szCs w:val="22"/>
        </w:rPr>
        <w:t xml:space="preserve">时，几何token被可学习的null token替换：</w:t>
      </w:r>
      <w:r>
        <w:rPr>
          <w:rFonts w:ascii="Courier New" w:cs="Courier New" w:eastAsia="Courier New" w:hAnsi="Courier New"/>
          <w:color w:val="6D28D9"/>
          <w:sz w:val="22"/>
          <w:szCs w:val="22"/>
        </w:rPr>
        <w:t xml:space="preserve">z_geo = m·z_geo + (1−m)·z_null</w:t>
      </w:r>
      <w:r>
        <w:rPr>
          <w:rFonts w:ascii="Arial" w:cs="Arial" w:eastAsia="Arial" w:hAnsi="Arial"/>
          <w:sz w:val="22"/>
          <w:szCs w:val="22"/>
        </w:rPr>
        <w:t xml:space="preserve">。</w:t>
      </w:r>
    </w:p>
    <w:p>
      <w:pPr>
        <w:pStyle w:val="Heading3"/>
        <w:spacing w:before="160" w:after="80"/>
      </w:pPr>
      <w:r>
        <w:rPr>
          <w:rFonts w:ascii="Arial" w:cs="Arial" w:eastAsia="Arial" w:hAnsi="Arial"/>
          <w:b/>
          <w:bCs/>
          <w:color w:val="374151"/>
          <w:sz w:val="24"/>
          <w:szCs w:val="24"/>
        </w:rPr>
        <w:t xml:space="preserve">3.4.2  几何引导自适应调制（GAM）</w:t>
      </w:r>
    </w:p>
    <w:p>
      <w:pPr>
        <w:spacing w:before="60" w:after="100"/>
        <w:jc w:val="both"/>
      </w:pPr>
      <w:r>
        <w:rPr>
          <w:rFonts w:ascii="Arial" w:cs="Arial" w:eastAsia="Arial" w:hAnsi="Arial"/>
          <w:sz w:val="22"/>
          <w:szCs w:val="22"/>
        </w:rPr>
        <w:t xml:space="preserve">GAM将几何先验注入选定的空间Transformer块，无需直接修改RGB特征路径。对于在层</w:t>
      </w:r>
      <w:r>
        <w:rPr>
          <w:rFonts w:ascii="Courier New" w:cs="Courier New" w:eastAsia="Courier New" w:hAnsi="Courier New"/>
          <w:color w:val="6D28D9"/>
          <w:sz w:val="22"/>
          <w:szCs w:val="22"/>
        </w:rPr>
        <w:t xml:space="preserve">l ∈ 𝒢</w:t>
      </w:r>
      <w:r>
        <w:rPr>
          <w:rFonts w:ascii="Arial" w:cs="Arial" w:eastAsia="Arial" w:hAnsi="Arial"/>
          <w:sz w:val="22"/>
          <w:szCs w:val="22"/>
        </w:rPr>
        <w:t xml:space="preserve">（每隔一个空间块，|𝒢|=14）的GAM配备块：</w:t>
      </w:r>
    </w:p>
    <w:p>
      <w:pPr>
        <w:spacing w:before="100" w:after="100"/>
        <w:jc w:val="center"/>
      </w:pPr>
      <w:r>
        <w:rPr>
          <w:rFonts w:ascii="Courier New" w:cs="Courier New" w:eastAsia="Courier New" w:hAnsi="Courier New"/>
          <w:color w:val="6D28D9"/>
          <w:sz w:val="22"/>
          <w:szCs w:val="22"/>
        </w:rPr>
        <w:t xml:space="preserve">g = mean(z_geo, dim=tokens),    [shift, scale] = MLP(g)</w:t>
      </w:r>
    </w:p>
    <w:p>
      <w:pPr>
        <w:spacing w:before="80" w:after="100"/>
        <w:jc w:val="center"/>
      </w:pPr>
      <w:r>
        <w:rPr>
          <w:rFonts w:ascii="Courier New" w:cs="Courier New" w:eastAsia="Courier New" w:hAnsi="Courier New"/>
          <w:color w:val="6D28D9"/>
          <w:sz w:val="22"/>
          <w:szCs w:val="22"/>
        </w:rPr>
        <w:t xml:space="preserve">x' = x · (σ(scale)·gate·0.1 + 1.0) + shift·gate</w:t>
      </w:r>
    </w:p>
    <w:p>
      <w:pPr>
        <w:spacing w:before="60" w:after="100"/>
        <w:jc w:val="both"/>
      </w:pPr>
      <w:r>
        <w:rPr>
          <w:rFonts w:ascii="Arial" w:cs="Arial" w:eastAsia="Arial" w:hAnsi="Arial"/>
          <w:sz w:val="22"/>
          <w:szCs w:val="22"/>
        </w:rPr>
        <w:t xml:space="preserve">两项设计确保训练稳定性：(1)</w:t>
      </w:r>
      <w:r>
        <w:rPr>
          <w:rFonts w:ascii="Arial" w:cs="Arial" w:eastAsia="Arial" w:hAnsi="Arial"/>
          <w:b/>
          <w:bCs/>
          <w:color w:val="1E3A5F"/>
          <w:sz w:val="22"/>
          <w:szCs w:val="22"/>
        </w:rPr>
        <w:t xml:space="preserve">零初始化</w:t>
      </w:r>
      <w:r>
        <w:rPr>
          <w:rFonts w:ascii="Arial" w:cs="Arial" w:eastAsia="Arial" w:hAnsi="Arial"/>
          <w:sz w:val="22"/>
          <w:szCs w:val="22"/>
        </w:rPr>
        <w:t xml:space="preserve">：gate ∈ ℝ初始化为0，使GAM在训练开始时无效果，保留预训练模型的行为；(2)</w:t>
      </w:r>
      <w:r>
        <w:rPr>
          <w:rFonts w:ascii="Arial" w:cs="Arial" w:eastAsia="Arial" w:hAnsi="Arial"/>
          <w:b/>
          <w:bCs/>
          <w:color w:val="1E3A5F"/>
          <w:sz w:val="22"/>
          <w:szCs w:val="22"/>
        </w:rPr>
        <w:t xml:space="preserve">首帧保护</w:t>
      </w:r>
      <w:r>
        <w:rPr>
          <w:rFonts w:ascii="Arial" w:cs="Arial" w:eastAsia="Arial" w:hAnsi="Arial"/>
          <w:sz w:val="22"/>
          <w:szCs w:val="22"/>
        </w:rPr>
        <w:t xml:space="preserve">：对首帧强制gate=0——因为VGGT输入是首帧图像，确保参考帧不受几何扰动。有界scale∈[1.0, 1.1]防止过度调制。</w:t>
      </w:r>
    </w:p>
    <w:p>
      <w:pPr>
        <w:pStyle w:val="Heading2"/>
        <w:spacing w:before="220" w:after="100"/>
      </w:pPr>
      <w:r>
        <w:rPr>
          <w:rFonts w:ascii="Arial" w:cs="Arial" w:eastAsia="Arial" w:hAnsi="Arial"/>
          <w:b/>
          <w:bCs/>
          <w:color w:val="1D4ED8"/>
          <w:sz w:val="26"/>
          <w:szCs w:val="26"/>
        </w:rPr>
        <w:t xml:space="preserve">3.5  多视图区域感知DPO损失</w:t>
      </w:r>
    </w:p>
    <w:p>
      <w:pPr>
        <w:spacing w:before="60" w:after="100"/>
        <w:jc w:val="both"/>
      </w:pPr>
      <w:r>
        <w:rPr>
          <w:rFonts w:ascii="Arial" w:cs="Arial" w:eastAsia="Arial" w:hAnsi="Arial"/>
          <w:sz w:val="22"/>
          <w:szCs w:val="22"/>
        </w:rPr>
        <w:t xml:space="preserve">我们基于Diffusion-DPO框架，从理论上将DPO损失公式化为三个组件：</w:t>
      </w:r>
    </w:p>
    <w:p>
      <w:pPr>
        <w:pStyle w:val="Heading3"/>
        <w:spacing w:before="160" w:after="80"/>
      </w:pPr>
      <w:r>
        <w:rPr>
          <w:rFonts w:ascii="Arial" w:cs="Arial" w:eastAsia="Arial" w:hAnsi="Arial"/>
          <w:b/>
          <w:bCs/>
          <w:color w:val="374151"/>
          <w:sz w:val="24"/>
          <w:szCs w:val="24"/>
        </w:rPr>
        <w:t xml:space="preserve">3.5.1  理论正确的DPO三元组</w:t>
      </w:r>
    </w:p>
    <w:p>
      <w:pPr>
        <w:spacing w:before="60" w:after="100"/>
        <w:jc w:val="both"/>
      </w:pPr>
      <w:r>
        <w:rPr>
          <w:rFonts w:ascii="Arial" w:cs="Arial" w:eastAsia="Arial" w:hAnsi="Arial"/>
          <w:sz w:val="22"/>
          <w:szCs w:val="22"/>
        </w:rPr>
        <w:t xml:space="preserve">DPO三元组为：</w:t>
      </w:r>
      <w:r>
        <w:rPr>
          <w:rFonts w:ascii="Arial" w:cs="Arial" w:eastAsia="Arial" w:hAnsi="Arial"/>
          <w:b/>
          <w:bCs/>
          <w:color w:val="1E3A5F"/>
          <w:sz w:val="22"/>
          <w:szCs w:val="22"/>
        </w:rPr>
        <w:t xml:space="preserve">偏好样本</w:t>
      </w:r>
      <w:r>
        <w:rPr>
          <w:rFonts w:ascii="Arial" w:cs="Arial" w:eastAsia="Arial" w:hAnsi="Arial"/>
          <w:sz w:val="22"/>
          <w:szCs w:val="22"/>
        </w:rPr>
        <w:t xml:space="preserve">= 真实视频</w:t>
      </w:r>
      <w:r>
        <w:rPr>
          <w:rFonts w:ascii="Courier New" w:cs="Courier New" w:eastAsia="Courier New" w:hAnsi="Courier New"/>
          <w:color w:val="6D28D9"/>
          <w:sz w:val="22"/>
          <w:szCs w:val="22"/>
        </w:rPr>
        <w:t xml:space="preserve">x⁺ = x₀</w:t>
      </w:r>
      <w:r>
        <w:rPr>
          <w:rFonts w:ascii="Arial" w:cs="Arial" w:eastAsia="Arial" w:hAnsi="Arial"/>
          <w:sz w:val="22"/>
          <w:szCs w:val="22"/>
        </w:rPr>
        <w:t xml:space="preserve">；</w:t>
      </w:r>
      <w:r>
        <w:rPr>
          <w:rFonts w:ascii="Arial" w:cs="Arial" w:eastAsia="Arial" w:hAnsi="Arial"/>
          <w:b/>
          <w:bCs/>
          <w:color w:val="1E3A5F"/>
          <w:sz w:val="22"/>
          <w:szCs w:val="22"/>
        </w:rPr>
        <w:t xml:space="preserve">拒绝样本</w:t>
      </w:r>
      <w:r>
        <w:rPr>
          <w:rFonts w:ascii="Arial" w:cs="Arial" w:eastAsia="Arial" w:hAnsi="Arial"/>
          <w:sz w:val="22"/>
          <w:szCs w:val="22"/>
        </w:rPr>
        <w:t xml:space="preserve">= 局部腐败视频</w:t>
      </w:r>
      <w:r>
        <w:rPr>
          <w:rFonts w:ascii="Courier New" w:cs="Courier New" w:eastAsia="Courier New" w:hAnsi="Courier New"/>
          <w:color w:val="6D28D9"/>
          <w:sz w:val="22"/>
          <w:szCs w:val="22"/>
        </w:rPr>
        <w:t xml:space="preserve">x⁻</w:t>
      </w:r>
      <w:r>
        <w:rPr>
          <w:rFonts w:ascii="Arial" w:cs="Arial" w:eastAsia="Arial" w:hAnsi="Arial"/>
          <w:sz w:val="22"/>
          <w:szCs w:val="22"/>
        </w:rPr>
        <w:t xml:space="preserve">；</w:t>
      </w:r>
      <w:r>
        <w:rPr>
          <w:rFonts w:ascii="Arial" w:cs="Arial" w:eastAsia="Arial" w:hAnsi="Arial"/>
          <w:b/>
          <w:bCs/>
          <w:color w:val="1E3A5F"/>
          <w:sz w:val="22"/>
          <w:szCs w:val="22"/>
        </w:rPr>
        <w:t xml:space="preserve">参考策略</w:t>
      </w:r>
      <w:r>
        <w:rPr>
          <w:rFonts w:ascii="Arial" w:cs="Arial" w:eastAsia="Arial" w:hAnsi="Arial"/>
          <w:sz w:val="22"/>
          <w:szCs w:val="22"/>
        </w:rPr>
        <w:t xml:space="preserve">= EMA模型预测</w:t>
      </w:r>
      <w:r>
        <w:rPr>
          <w:rFonts w:ascii="Courier New" w:cs="Courier New" w:eastAsia="Courier New" w:hAnsi="Courier New"/>
          <w:color w:val="6D28D9"/>
          <w:sz w:val="22"/>
          <w:szCs w:val="22"/>
        </w:rPr>
        <w:t xml:space="preserve">x̂₀_ref</w:t>
      </w:r>
      <w:r>
        <w:rPr>
          <w:rFonts w:ascii="Arial" w:cs="Arial" w:eastAsia="Arial" w:hAnsi="Arial"/>
          <w:sz w:val="22"/>
          <w:szCs w:val="22"/>
        </w:rPr>
        <w:t xml:space="preserve">。使用负MSE作为对数概率的代理，隐式奖励为：</w:t>
      </w:r>
    </w:p>
    <w:p>
      <w:pPr>
        <w:spacing w:before="100" w:after="100"/>
        <w:jc w:val="center"/>
      </w:pPr>
      <w:r>
        <w:rPr>
          <w:rFonts w:ascii="Courier New" w:cs="Courier New" w:eastAsia="Courier New" w:hAnsi="Courier New"/>
          <w:color w:val="6D28D9"/>
          <w:sz w:val="22"/>
          <w:szCs w:val="22"/>
        </w:rPr>
        <w:t xml:space="preserve">R(x̂₀) ≈ MSE_ref − MSE_π</w:t>
      </w:r>
    </w:p>
    <w:p>
      <w:pPr>
        <w:pStyle w:val="Heading3"/>
        <w:spacing w:before="160" w:after="80"/>
      </w:pPr>
      <w:r>
        <w:rPr>
          <w:rFonts w:ascii="Arial" w:cs="Arial" w:eastAsia="Arial" w:hAnsi="Arial"/>
          <w:b/>
          <w:bCs/>
          <w:color w:val="374151"/>
          <w:sz w:val="24"/>
          <w:szCs w:val="24"/>
        </w:rPr>
        <w:t xml:space="preserve">3.5.2  区域感知DPO损失（ℒ_RA）</w:t>
      </w:r>
    </w:p>
    <w:p>
      <w:pPr>
        <w:spacing w:before="60" w:after="100"/>
        <w:jc w:val="both"/>
      </w:pPr>
      <w:r>
        <w:rPr>
          <w:rFonts w:ascii="Arial" w:cs="Arial" w:eastAsia="Arial" w:hAnsi="Arial"/>
          <w:sz w:val="22"/>
          <w:szCs w:val="22"/>
        </w:rPr>
        <w:t xml:space="preserve">所有MSE仅在掩码区域</w:t>
      </w:r>
      <w:r>
        <w:rPr>
          <w:rFonts w:ascii="Courier New" w:cs="Courier New" w:eastAsia="Courier New" w:hAnsi="Courier New"/>
          <w:color w:val="6D28D9"/>
          <w:sz w:val="22"/>
          <w:szCs w:val="22"/>
        </w:rPr>
        <w:t xml:space="preserve">M</w:t>
      </w:r>
      <w:r>
        <w:rPr>
          <w:rFonts w:ascii="Arial" w:cs="Arial" w:eastAsia="Arial" w:hAnsi="Arial"/>
          <w:sz w:val="22"/>
          <w:szCs w:val="22"/>
        </w:rPr>
        <w:t xml:space="preserve">内计算，实现区域特定的偏好学习：</w:t>
      </w:r>
    </w:p>
    <w:p>
      <w:pPr>
        <w:spacing w:before="100" w:after="100"/>
        <w:jc w:val="center"/>
      </w:pPr>
      <w:r>
        <w:rPr>
          <w:rFonts w:ascii="Courier New" w:cs="Courier New" w:eastAsia="Courier New" w:hAnsi="Courier New"/>
          <w:color w:val="6D28D9"/>
          <w:sz w:val="22"/>
          <w:szCs w:val="22"/>
        </w:rPr>
        <w:t xml:space="preserve">MSE_π = ‖M·(x̂₀_π − x₀)‖² / |M|,    MSE_ref = ‖M·(x̂₀_ref − x₀)‖² / |M|</w:t>
      </w:r>
    </w:p>
    <w:p>
      <w:pPr>
        <w:spacing w:before="80" w:after="100"/>
        <w:jc w:val="center"/>
      </w:pPr>
      <w:r>
        <w:rPr>
          <w:rFonts w:ascii="Courier New" w:cs="Courier New" w:eastAsia="Courier New" w:hAnsi="Courier New"/>
          <w:color w:val="6D28D9"/>
          <w:sz w:val="22"/>
          <w:szCs w:val="22"/>
        </w:rPr>
        <w:t xml:space="preserve">ℒ_RA = −log σ(β · w(α) · (MSE_ref − MSE_π)),    β = 0.1</w:t>
      </w:r>
    </w:p>
    <w:p>
      <w:pPr>
        <w:spacing w:before="60" w:after="100"/>
        <w:jc w:val="both"/>
      </w:pPr>
      <w:r>
        <w:rPr>
          <w:rFonts w:ascii="Arial" w:cs="Arial" w:eastAsia="Arial" w:hAnsi="Arial"/>
          <w:sz w:val="22"/>
          <w:szCs w:val="22"/>
        </w:rPr>
        <w:t xml:space="preserve">动态噪声级权重</w:t>
      </w:r>
      <w:r>
        <w:rPr>
          <w:rFonts w:ascii="Courier New" w:cs="Courier New" w:eastAsia="Courier New" w:hAnsi="Courier New"/>
          <w:color w:val="6D28D9"/>
          <w:sz w:val="22"/>
          <w:szCs w:val="22"/>
        </w:rPr>
        <w:t xml:space="preserve">w(α)</w:t>
      </w:r>
      <w:r>
        <w:rPr>
          <w:rFonts w:ascii="Arial" w:cs="Arial" w:eastAsia="Arial" w:hAnsi="Arial"/>
          <w:sz w:val="22"/>
          <w:szCs w:val="22"/>
        </w:rPr>
        <w:t xml:space="preserve">将DPO信号聚焦于偏好信号最可靠的干净（低噪声）时间步：</w:t>
      </w:r>
    </w:p>
    <w:p>
      <w:pPr>
        <w:spacing w:before="100" w:after="100"/>
        <w:jc w:val="center"/>
      </w:pPr>
      <w:r>
        <w:rPr>
          <w:rFonts w:ascii="Courier New" w:cs="Courier New" w:eastAsia="Courier New" w:hAnsi="Courier New"/>
          <w:color w:val="6D28D9"/>
          <w:sz w:val="22"/>
          <w:szCs w:val="22"/>
        </w:rPr>
        <w:t xml:space="preserve">w(α) = 0.1 + 0.9 · clamp((α−αₗ)/(α_h−αₗ), 0, 1),    αₗ=0.1, α_h=0.9</w:t>
      </w:r>
    </w:p>
    <w:p>
      <w:pPr>
        <w:pStyle w:val="Heading3"/>
        <w:spacing w:before="160" w:after="80"/>
      </w:pPr>
      <w:r>
        <w:rPr>
          <w:rFonts w:ascii="Arial" w:cs="Arial" w:eastAsia="Arial" w:hAnsi="Arial"/>
          <w:b/>
          <w:bCs/>
          <w:color w:val="374151"/>
          <w:sz w:val="24"/>
          <w:szCs w:val="24"/>
        </w:rPr>
        <w:t xml:space="preserve">3.5.3  掩码区域SFT损失（ℒ_SFT）</w:t>
      </w:r>
    </w:p>
    <w:p>
      <w:pPr>
        <w:spacing w:before="100" w:after="100"/>
        <w:jc w:val="center"/>
      </w:pPr>
      <w:r>
        <w:rPr>
          <w:rFonts w:ascii="Courier New" w:cs="Courier New" w:eastAsia="Courier New" w:hAnsi="Courier New"/>
          <w:color w:val="6D28D9"/>
          <w:sz w:val="22"/>
          <w:szCs w:val="22"/>
        </w:rPr>
        <w:t xml:space="preserve">ℒ_SFT = ‖M·(x̂₀_π − x₀)‖² / (4·|M|)</w:t>
      </w:r>
    </w:p>
    <w:p>
      <w:pPr>
        <w:pStyle w:val="Heading3"/>
        <w:spacing w:before="160" w:after="80"/>
      </w:pPr>
      <w:r>
        <w:rPr>
          <w:rFonts w:ascii="Arial" w:cs="Arial" w:eastAsia="Arial" w:hAnsi="Arial"/>
          <w:b/>
          <w:bCs/>
          <w:color w:val="374151"/>
          <w:sz w:val="24"/>
          <w:szCs w:val="24"/>
        </w:rPr>
        <w:t xml:space="preserve">3.5.4  几何对齐损失（ℒ_Align）</w:t>
      </w:r>
    </w:p>
    <w:p>
      <w:pPr>
        <w:spacing w:before="100" w:after="100"/>
        <w:jc w:val="center"/>
      </w:pPr>
      <w:r>
        <w:rPr>
          <w:rFonts w:ascii="Courier New" w:cs="Courier New" w:eastAsia="Courier New" w:hAnsi="Courier New"/>
          <w:color w:val="6D28D9"/>
          <w:sz w:val="22"/>
          <w:szCs w:val="22"/>
        </w:rPr>
        <w:t xml:space="preserve">ℒ_Align = (1 − cos(z_geo, z_rgb)) / 2</w:t>
      </w:r>
    </w:p>
    <w:p>
      <w:pPr>
        <w:spacing w:before="60" w:after="100"/>
        <w:jc w:val="both"/>
      </w:pPr>
      <w:r>
        <w:rPr>
          <w:rFonts w:ascii="Arial" w:cs="Arial" w:eastAsia="Arial" w:hAnsi="Arial"/>
          <w:sz w:val="22"/>
          <w:szCs w:val="22"/>
        </w:rPr>
        <w:t xml:space="preserve">关键地，此损失中</w:t>
      </w:r>
      <w:r>
        <w:rPr>
          <w:rFonts w:ascii="Arial" w:cs="Arial" w:eastAsia="Arial" w:hAnsi="Arial"/>
          <w:b/>
          <w:bCs/>
          <w:color w:val="1E3A5F"/>
          <w:sz w:val="22"/>
          <w:szCs w:val="22"/>
        </w:rPr>
        <w:t xml:space="preserve">不对</w:t>
      </w:r>
      <w:r>
        <w:rPr>
          <w:rFonts w:ascii="Courier New" w:cs="Courier New" w:eastAsia="Courier New" w:hAnsi="Courier New"/>
          <w:color w:val="6D28D9"/>
          <w:sz w:val="22"/>
          <w:szCs w:val="22"/>
        </w:rPr>
        <w:t xml:space="preserve">z_geo</w:t>
      </w:r>
      <w:r>
        <w:rPr>
          <w:rFonts w:ascii="Arial" w:cs="Arial" w:eastAsia="Arial" w:hAnsi="Arial"/>
          <w:b/>
          <w:bCs/>
          <w:color w:val="1E3A5F"/>
          <w:sz w:val="22"/>
          <w:szCs w:val="22"/>
        </w:rPr>
        <w:t xml:space="preserve">应用detach()</w:t>
      </w:r>
      <w:r>
        <w:rPr>
          <w:rFonts w:ascii="Arial" w:cs="Arial" w:eastAsia="Arial" w:hAnsi="Arial"/>
          <w:sz w:val="22"/>
          <w:szCs w:val="22"/>
        </w:rPr>
        <w:t xml:space="preserve">，确保梯度通过几何适配器反向传播，使其学习几何-外观对齐。</w:t>
      </w:r>
      <w:r>
        <w:rPr>
          <w:rFonts w:ascii="Courier New" w:cs="Courier New" w:eastAsia="Courier New" w:hAnsi="Courier New"/>
          <w:color w:val="6D28D9"/>
          <w:sz w:val="22"/>
          <w:szCs w:val="22"/>
        </w:rPr>
        <w:t xml:space="preserve">z_geo</w:t>
      </w:r>
      <w:r>
        <w:rPr>
          <w:rFonts w:ascii="Arial" w:cs="Arial" w:eastAsia="Arial" w:hAnsi="Arial"/>
          <w:sz w:val="22"/>
          <w:szCs w:val="22"/>
        </w:rPr>
        <w:t xml:space="preserve">和</w:t>
      </w:r>
      <w:r>
        <w:rPr>
          <w:rFonts w:ascii="Courier New" w:cs="Courier New" w:eastAsia="Courier New" w:hAnsi="Courier New"/>
          <w:color w:val="6D28D9"/>
          <w:sz w:val="22"/>
          <w:szCs w:val="22"/>
        </w:rPr>
        <w:t xml:space="preserve">z_rgb</w:t>
      </w:r>
      <w:r>
        <w:rPr>
          <w:rFonts w:ascii="Arial" w:cs="Arial" w:eastAsia="Arial" w:hAnsi="Arial"/>
          <w:sz w:val="22"/>
          <w:szCs w:val="22"/>
        </w:rPr>
        <w:t xml:space="preserve">在余弦相似度计算前均进行L2归一化。</w:t>
      </w:r>
    </w:p>
    <w:p>
      <w:pPr>
        <w:pStyle w:val="Heading3"/>
        <w:spacing w:before="160" w:after="80"/>
      </w:pPr>
      <w:r>
        <w:rPr>
          <w:rFonts w:ascii="Arial" w:cs="Arial" w:eastAsia="Arial" w:hAnsi="Arial"/>
          <w:b/>
          <w:bCs/>
          <w:color w:val="374151"/>
          <w:sz w:val="24"/>
          <w:szCs w:val="24"/>
        </w:rPr>
        <w:t xml:space="preserve">3.5.5  总损失</w:t>
      </w:r>
    </w:p>
    <w:p>
      <w:pPr>
        <w:spacing w:before="100" w:after="100"/>
        <w:jc w:val="center"/>
      </w:pPr>
      <w:r>
        <w:rPr>
          <w:rFonts w:ascii="Courier New" w:cs="Courier New" w:eastAsia="Courier New" w:hAnsi="Courier New"/>
          <w:color w:val="6D28D9"/>
          <w:sz w:val="22"/>
          <w:szCs w:val="22"/>
        </w:rPr>
        <w:t xml:space="preserve">ℒ = ℒ_diff + λ_RA·ℒ_RA + λ_SFT·ℒ_SFT + λ_Align·ℒ_Align</w:t>
      </w:r>
    </w:p>
    <w:p>
      <w:pPr>
        <w:spacing w:before="60" w:after="100"/>
        <w:jc w:val="both"/>
      </w:pPr>
      <w:r>
        <w:rPr>
          <w:rFonts w:ascii="Arial" w:cs="Arial" w:eastAsia="Arial" w:hAnsi="Arial"/>
          <w:sz w:val="22"/>
          <w:szCs w:val="22"/>
        </w:rPr>
        <w:t xml:space="preserve">其中</w:t>
      </w:r>
      <w:r>
        <w:rPr>
          <w:rFonts w:ascii="Courier New" w:cs="Courier New" w:eastAsia="Courier New" w:hAnsi="Courier New"/>
          <w:color w:val="6D28D9"/>
          <w:sz w:val="22"/>
          <w:szCs w:val="22"/>
        </w:rPr>
        <w:t xml:space="preserve">λ_RA=0.01, λ_SFT=1.0, λ_Align=0.001</w:t>
      </w:r>
      <w:r>
        <w:rPr>
          <w:rFonts w:ascii="Arial" w:cs="Arial" w:eastAsia="Arial" w:hAnsi="Arial"/>
          <w:sz w:val="22"/>
          <w:szCs w:val="22"/>
        </w:rPr>
        <w:t xml:space="preserve">。动态加权调度根据</w:t>
      </w:r>
      <w:r>
        <w:rPr>
          <w:rFonts w:ascii="Courier New" w:cs="Courier New" w:eastAsia="Courier New" w:hAnsi="Courier New"/>
          <w:color w:val="6D28D9"/>
          <w:sz w:val="22"/>
          <w:szCs w:val="22"/>
        </w:rPr>
        <w:t xml:space="preserve">ℒ_SFT</w:t>
      </w:r>
      <w:r>
        <w:rPr>
          <w:rFonts w:ascii="Arial" w:cs="Arial" w:eastAsia="Arial" w:hAnsi="Arial"/>
          <w:sz w:val="22"/>
          <w:szCs w:val="22"/>
        </w:rPr>
        <w:t xml:space="preserve">值调整</w:t>
      </w:r>
      <w:r>
        <w:rPr>
          <w:rFonts w:ascii="Courier New" w:cs="Courier New" w:eastAsia="Courier New" w:hAnsi="Courier New"/>
          <w:color w:val="6D28D9"/>
          <w:sz w:val="22"/>
          <w:szCs w:val="22"/>
        </w:rPr>
        <w:t xml:space="preserve">λ_RA</w:t>
      </w:r>
      <w:r>
        <w:rPr>
          <w:rFonts w:ascii="Arial" w:cs="Arial" w:eastAsia="Arial" w:hAnsi="Arial"/>
          <w:sz w:val="22"/>
          <w:szCs w:val="22"/>
        </w:rPr>
        <w:t xml:space="preserve">，在SFT损失较高时降低DPO权重以避免奖励黑客攻击。</w:t>
      </w:r>
    </w:p>
    <w:p>
      <w:pPr>
        <w:spacing w:before="60" w:after="100"/>
        <w:jc w:val="both"/>
      </w:pPr>
      <w:r>
        <w:rPr>
          <w:rFonts w:ascii="Arial" w:cs="Arial" w:eastAsia="Arial" w:hAnsi="Arial"/>
          <w:sz w:val="22"/>
          <w:szCs w:val="22"/>
        </w:rPr>
        <w:t xml:space="preserve">仅VGGT几何适配器参数、GAM模块（gate、layer_bias、geo_proj）和运动掩码生成器为可训练参数。VGGT骨干、EMA参考模型和基础STDiT3 Transformer在整个训练过程中冻结。</w:t>
      </w:r>
    </w:p>
    <w:p>
      <w:r>
        <w:br w:type="page"/>
      </w:r>
    </w:p>
    <w:p>
      <w:pPr>
        <w:pStyle w:val="Heading1"/>
        <w:spacing w:before="280" w:after="140"/>
      </w:pPr>
      <w:r>
        <w:rPr>
          <w:rFonts w:ascii="Arial" w:cs="Arial" w:eastAsia="Arial" w:hAnsi="Arial"/>
          <w:b/>
          <w:bCs/>
          <w:color w:val="1E3A5F"/>
          <w:sz w:val="30"/>
          <w:szCs w:val="30"/>
        </w:rPr>
        <w:t xml:space="preserve">4. 实验</w:t>
      </w:r>
    </w:p>
    <w:p>
      <w:pPr>
        <w:pStyle w:val="Heading2"/>
        <w:spacing w:before="220" w:after="100"/>
      </w:pPr>
      <w:r>
        <w:rPr>
          <w:rFonts w:ascii="Arial" w:cs="Arial" w:eastAsia="Arial" w:hAnsi="Arial"/>
          <w:b/>
          <w:bCs/>
          <w:color w:val="1D4ED8"/>
          <w:sz w:val="26"/>
          <w:szCs w:val="26"/>
        </w:rPr>
        <w:t xml:space="preserve">4.1  实验设置</w:t>
      </w:r>
    </w:p>
    <w:p>
      <w:pPr>
        <w:pStyle w:val="Heading3"/>
        <w:spacing w:before="160" w:after="80"/>
      </w:pPr>
      <w:r>
        <w:rPr>
          <w:rFonts w:ascii="Arial" w:cs="Arial" w:eastAsia="Arial" w:hAnsi="Arial"/>
          <w:b/>
          <w:bCs/>
          <w:color w:val="374151"/>
          <w:sz w:val="24"/>
          <w:szCs w:val="24"/>
        </w:rPr>
        <w:t xml:space="preserve">数据集</w:t>
      </w:r>
    </w:p>
    <w:p>
      <w:pPr>
        <w:spacing w:before="60" w:after="100"/>
        <w:jc w:val="both"/>
      </w:pPr>
      <w:r>
        <w:rPr>
          <w:rFonts w:ascii="Arial" w:cs="Arial" w:eastAsia="Arial" w:hAnsi="Arial"/>
          <w:sz w:val="22"/>
          <w:szCs w:val="22"/>
        </w:rPr>
        <w:t xml:space="preserve">我们在</w:t>
      </w:r>
      <w:r>
        <w:rPr>
          <w:rFonts w:ascii="Arial" w:cs="Arial" w:eastAsia="Arial" w:hAnsi="Arial"/>
          <w:b/>
          <w:bCs/>
          <w:color w:val="1E3A5F"/>
          <w:sz w:val="22"/>
          <w:szCs w:val="22"/>
        </w:rPr>
        <w:t xml:space="preserve">nuScenes</w:t>
      </w:r>
      <w:r>
        <w:rPr>
          <w:rFonts w:ascii="Arial" w:cs="Arial" w:eastAsia="Arial" w:hAnsi="Arial"/>
          <w:sz w:val="22"/>
          <w:szCs w:val="22"/>
        </w:rPr>
        <w:t xml:space="preserve">数据集上进行评估，该数据集包含1000个驾驶场景，配备同步6摄像头（NC=6）以12 FPS录制视频。遵循MagicDriveV2，使用700个场景训练，150个场景评估。所有视频以每相机448×840分辨率处理，每片段T=16帧。</w:t>
      </w:r>
    </w:p>
    <w:p>
      <w:pPr>
        <w:pStyle w:val="Heading3"/>
        <w:spacing w:before="160" w:after="80"/>
      </w:pPr>
      <w:r>
        <w:rPr>
          <w:rFonts w:ascii="Arial" w:cs="Arial" w:eastAsia="Arial" w:hAnsi="Arial"/>
          <w:b/>
          <w:bCs/>
          <w:color w:val="374151"/>
          <w:sz w:val="24"/>
          <w:szCs w:val="24"/>
        </w:rPr>
        <w:t xml:space="preserve">基线方法</w:t>
      </w:r>
    </w:p>
    <w:p>
      <w:pPr>
        <w:spacing w:before="60" w:after="100"/>
        <w:jc w:val="both"/>
      </w:pPr>
      <w:r>
        <w:rPr>
          <w:rFonts w:ascii="Arial" w:cs="Arial" w:eastAsia="Arial" w:hAnsi="Arial"/>
          <w:sz w:val="22"/>
          <w:szCs w:val="22"/>
        </w:rPr>
        <w:t xml:space="preserve">我们与以下方法比较：(1) </w:t>
      </w:r>
      <w:r>
        <w:rPr>
          <w:rFonts w:ascii="Arial" w:cs="Arial" w:eastAsia="Arial" w:hAnsi="Arial"/>
          <w:b/>
          <w:bCs/>
          <w:color w:val="1E3A5F"/>
          <w:sz w:val="22"/>
          <w:szCs w:val="22"/>
        </w:rPr>
        <w:t xml:space="preserve">MagicDriveV2</w:t>
      </w:r>
      <w:r>
        <w:rPr>
          <w:rFonts w:ascii="Arial" w:cs="Arial" w:eastAsia="Arial" w:hAnsi="Arial"/>
          <w:sz w:val="22"/>
          <w:szCs w:val="22"/>
        </w:rPr>
        <w:t xml:space="preserve">（基线）；(2) </w:t>
      </w:r>
      <w:r>
        <w:rPr>
          <w:rFonts w:ascii="Arial" w:cs="Arial" w:eastAsia="Arial" w:hAnsi="Arial"/>
          <w:b/>
          <w:bCs/>
          <w:color w:val="1E3A5F"/>
          <w:sz w:val="22"/>
          <w:szCs w:val="22"/>
        </w:rPr>
        <w:t xml:space="preserve">WoVoGen</w:t>
      </w:r>
      <w:r>
        <w:rPr>
          <w:rFonts w:ascii="Arial" w:cs="Arial" w:eastAsia="Arial" w:hAnsi="Arial"/>
          <w:sz w:val="22"/>
          <w:szCs w:val="22"/>
        </w:rPr>
        <w:t xml:space="preserve">（Lu等，2024）；(3) </w:t>
      </w:r>
      <w:r>
        <w:rPr>
          <w:rFonts w:ascii="Arial" w:cs="Arial" w:eastAsia="Arial" w:hAnsi="Arial"/>
          <w:b/>
          <w:bCs/>
          <w:color w:val="1E3A5F"/>
          <w:sz w:val="22"/>
          <w:szCs w:val="22"/>
        </w:rPr>
        <w:t xml:space="preserve">DrivingDiffusion</w:t>
      </w:r>
      <w:r>
        <w:rPr>
          <w:rFonts w:ascii="Arial" w:cs="Arial" w:eastAsia="Arial" w:hAnsi="Arial"/>
          <w:sz w:val="22"/>
          <w:szCs w:val="22"/>
        </w:rPr>
        <w:t xml:space="preserve">（Li等，2024）；(4) </w:t>
      </w:r>
      <w:r>
        <w:rPr>
          <w:rFonts w:ascii="Arial" w:cs="Arial" w:eastAsia="Arial" w:hAnsi="Arial"/>
          <w:b/>
          <w:bCs/>
          <w:color w:val="1E3A5F"/>
          <w:sz w:val="22"/>
          <w:szCs w:val="22"/>
        </w:rPr>
        <w:t xml:space="preserve">MagicDriveVAD</w:t>
      </w:r>
      <w:r>
        <w:rPr>
          <w:rFonts w:ascii="Arial" w:cs="Arial" w:eastAsia="Arial" w:hAnsi="Arial"/>
          <w:sz w:val="22"/>
          <w:szCs w:val="22"/>
        </w:rPr>
        <w:t xml:space="preserve">（Gao等，2024）；以及(5)我们方法的消融变体。</w:t>
      </w:r>
    </w:p>
    <w:p>
      <w:pPr>
        <w:pStyle w:val="Heading3"/>
        <w:spacing w:before="160" w:after="80"/>
      </w:pPr>
      <w:r>
        <w:rPr>
          <w:rFonts w:ascii="Arial" w:cs="Arial" w:eastAsia="Arial" w:hAnsi="Arial"/>
          <w:b/>
          <w:bCs/>
          <w:color w:val="374151"/>
          <w:sz w:val="24"/>
          <w:szCs w:val="24"/>
        </w:rPr>
        <w:t xml:space="preserve">评估指标</w:t>
      </w:r>
    </w:p>
    <w:p>
      <w:pPr>
        <w:spacing w:before="60" w:after="100"/>
        <w:jc w:val="both"/>
      </w:pPr>
      <w:r>
        <w:rPr>
          <w:rFonts w:ascii="Arial" w:cs="Arial" w:eastAsia="Arial" w:hAnsi="Arial"/>
          <w:sz w:val="22"/>
          <w:szCs w:val="22"/>
        </w:rPr>
        <w:t xml:space="preserve">报告八项指标：</w:t>
      </w:r>
      <w:r>
        <w:rPr>
          <w:rFonts w:ascii="Arial" w:cs="Arial" w:eastAsia="Arial" w:hAnsi="Arial"/>
          <w:b/>
          <w:bCs/>
          <w:color w:val="1E3A5F"/>
          <w:sz w:val="22"/>
          <w:szCs w:val="22"/>
        </w:rPr>
        <w:t xml:space="preserve">FID</w:t>
      </w:r>
      <w:r>
        <w:rPr>
          <w:rFonts w:ascii="Arial" w:cs="Arial" w:eastAsia="Arial" w:hAnsi="Arial"/>
          <w:sz w:val="22"/>
          <w:szCs w:val="22"/>
        </w:rPr>
        <w:t xml:space="preserve">（Fréchet初始距离，总体视觉质量）；</w:t>
      </w:r>
      <w:r>
        <w:rPr>
          <w:rFonts w:ascii="Arial" w:cs="Arial" w:eastAsia="Arial" w:hAnsi="Arial"/>
          <w:b/>
          <w:bCs/>
          <w:color w:val="1E3A5F"/>
          <w:sz w:val="22"/>
          <w:szCs w:val="22"/>
        </w:rPr>
        <w:t xml:space="preserve">FVD</w:t>
      </w:r>
      <w:r>
        <w:rPr>
          <w:rFonts w:ascii="Arial" w:cs="Arial" w:eastAsia="Arial" w:hAnsi="Arial"/>
          <w:sz w:val="22"/>
          <w:szCs w:val="22"/>
        </w:rPr>
        <w:t xml:space="preserve">（Fréchet视频距离，时序质量）；</w:t>
      </w:r>
      <w:r>
        <w:rPr>
          <w:rFonts w:ascii="Arial" w:cs="Arial" w:eastAsia="Arial" w:hAnsi="Arial"/>
          <w:b/>
          <w:bCs/>
          <w:color w:val="1E3A5F"/>
          <w:sz w:val="22"/>
          <w:szCs w:val="22"/>
        </w:rPr>
        <w:t xml:space="preserve">mAP</w:t>
      </w:r>
      <w:r>
        <w:rPr>
          <w:rFonts w:ascii="Arial" w:cs="Arial" w:eastAsia="Arial" w:hAnsi="Arial"/>
          <w:sz w:val="22"/>
          <w:szCs w:val="22"/>
        </w:rPr>
        <w:t xml:space="preserve">（生成视频上预训练检测器的3D检测精度）；</w:t>
      </w:r>
      <w:r>
        <w:rPr>
          <w:rFonts w:ascii="Arial" w:cs="Arial" w:eastAsia="Arial" w:hAnsi="Arial"/>
          <w:b/>
          <w:bCs/>
          <w:color w:val="1E3A5F"/>
          <w:sz w:val="22"/>
          <w:szCs w:val="22"/>
        </w:rPr>
        <w:t xml:space="preserve">MV-SSIM</w:t>
      </w:r>
      <w:r>
        <w:rPr>
          <w:rFonts w:ascii="Arial" w:cs="Arial" w:eastAsia="Arial" w:hAnsi="Arial"/>
          <w:sz w:val="22"/>
          <w:szCs w:val="22"/>
        </w:rPr>
        <w:t xml:space="preserve">（相邻相机重叠区域SSIM，衡量多视图几何一致性）；</w:t>
      </w:r>
      <w:r>
        <w:rPr>
          <w:rFonts w:ascii="Arial" w:cs="Arial" w:eastAsia="Arial" w:hAnsi="Arial"/>
          <w:b/>
          <w:bCs/>
          <w:color w:val="1E3A5F"/>
          <w:sz w:val="22"/>
          <w:szCs w:val="22"/>
        </w:rPr>
        <w:t xml:space="preserve">深度AbsRel</w:t>
      </w:r>
      <w:r>
        <w:rPr>
          <w:rFonts w:ascii="Arial" w:cs="Arial" w:eastAsia="Arial" w:hAnsi="Arial"/>
          <w:sz w:val="22"/>
          <w:szCs w:val="22"/>
        </w:rPr>
        <w:t xml:space="preserve">（VGGT预测深度vs.真实深度，衡量三维几何精度）；</w:t>
      </w:r>
      <w:r>
        <w:rPr>
          <w:rFonts w:ascii="Arial" w:cs="Arial" w:eastAsia="Arial" w:hAnsi="Arial"/>
          <w:b/>
          <w:bCs/>
          <w:color w:val="1E3A5F"/>
          <w:sz w:val="22"/>
          <w:szCs w:val="22"/>
        </w:rPr>
        <w:t xml:space="preserve">前景FID</w:t>
      </w:r>
      <w:r>
        <w:rPr>
          <w:rFonts w:ascii="Arial" w:cs="Arial" w:eastAsia="Arial" w:hAnsi="Arial"/>
          <w:sz w:val="22"/>
          <w:szCs w:val="22"/>
        </w:rPr>
        <w:t xml:space="preserve">（前景物体裁剪区域FID）；以及</w:t>
      </w:r>
      <w:r>
        <w:rPr>
          <w:rFonts w:ascii="Arial" w:cs="Arial" w:eastAsia="Arial" w:hAnsi="Arial"/>
          <w:b/>
          <w:bCs/>
          <w:color w:val="1E3A5F"/>
          <w:sz w:val="22"/>
          <w:szCs w:val="22"/>
        </w:rPr>
        <w:t xml:space="preserve">DINO-FID</w:t>
      </w:r>
      <w:r>
        <w:rPr>
          <w:rFonts w:ascii="Arial" w:cs="Arial" w:eastAsia="Arial" w:hAnsi="Arial"/>
          <w:sz w:val="22"/>
          <w:szCs w:val="22"/>
        </w:rPr>
        <w:t xml:space="preserve">（DINO特征空间FID，衡量语义质量）。</w:t>
      </w:r>
    </w:p>
    <w:p>
      <w:pPr>
        <w:pStyle w:val="Heading3"/>
        <w:spacing w:before="160" w:after="80"/>
      </w:pPr>
      <w:r>
        <w:rPr>
          <w:rFonts w:ascii="Arial" w:cs="Arial" w:eastAsia="Arial" w:hAnsi="Arial"/>
          <w:b/>
          <w:bCs/>
          <w:color w:val="374151"/>
          <w:sz w:val="24"/>
          <w:szCs w:val="24"/>
        </w:rPr>
        <w:t xml:space="preserve">实现细节</w:t>
      </w:r>
    </w:p>
    <w:p>
      <w:pPr>
        <w:spacing w:before="60" w:after="100"/>
        <w:jc w:val="both"/>
      </w:pPr>
      <w:r>
        <w:rPr>
          <w:rFonts w:ascii="Arial" w:cs="Arial" w:eastAsia="Arial" w:hAnsi="Arial"/>
          <w:sz w:val="22"/>
          <w:szCs w:val="22"/>
        </w:rPr>
        <w:t xml:space="preserve">从MagicDriveV2检查点初始化，训练20,000步，批大小2（×8 GPU），学习率2e-5，AdamW优化器。可训练参数：VGGT几何适配器（~45M）、GAM模块（~12M）、运动掩码生成器（&lt;1M），合计~58M可训练参数（总参数~2.5B）。EMA衰减γ=0.9999。训练使用BF16精度，8×A100-80G GPU。</w:t>
      </w:r>
    </w:p>
    <w:p>
      <w:pPr>
        <w:pStyle w:val="Heading2"/>
        <w:spacing w:before="220" w:after="100"/>
      </w:pPr>
      <w:r>
        <w:rPr>
          <w:rFonts w:ascii="Arial" w:cs="Arial" w:eastAsia="Arial" w:hAnsi="Arial"/>
          <w:b/>
          <w:bCs/>
          <w:color w:val="1D4ED8"/>
          <w:sz w:val="26"/>
          <w:szCs w:val="26"/>
        </w:rPr>
        <w:t xml:space="preserve">4.2  主要结果</w:t>
      </w:r>
    </w:p>
    <w:p>
      <w:pPr>
        <w:spacing w:before="60" w:after="100"/>
        <w:jc w:val="both"/>
      </w:pPr>
      <w:r>
        <w:rPr>
          <w:rFonts w:ascii="Arial" w:cs="Arial" w:eastAsia="Arial" w:hAnsi="Arial"/>
          <w:sz w:val="22"/>
          <w:szCs w:val="22"/>
        </w:rPr>
        <w:t xml:space="preserve">表1展示定量结果。MV-LocalDPO在所有指标上相比MagicDriveV2基线实现一致提升：</w:t>
      </w:r>
    </w:p>
    <w:p>
      <w:pPr>
        <w:spacing w:before="60" w:after="60"/>
        <w:jc w:val="center"/>
      </w:pPr>
      <w:r>
        <w:rPr>
          <w:rFonts w:ascii="Arial" w:cs="Arial" w:eastAsia="Arial" w:hAnsi="Arial"/>
          <w:b/>
          <w:bCs/>
          <w:color w:val="374151"/>
          <w:sz w:val="22"/>
          <w:szCs w:val="22"/>
        </w:rPr>
        <w:t xml:space="preserve">表1：nuScenes测试集定量对比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00"/>
        <w:gridCol w:w="1100"/>
        <w:gridCol w:w="1100"/>
        <w:gridCol w:w="1100"/>
        <w:gridCol w:w="1060"/>
      </w:tblGrid>
      <w:tr>
        <w:tc>
          <w:tcPr>
            <w:tcW w:type="dxa" w:w="1700"/>
            <w:gridSpan w:val="1"/>
            <w:tcBorders>
              <w:top w:val="single" w:color="DDDDDD" w:sz="4"/>
              <w:left w:val="single" w:color="DDDDDD" w:sz="4"/>
              <w:bottom w:val="single" w:color="DDDDDD" w:sz="4"/>
              <w:right w:val="single" w:color="DDDDDD" w:sz="4"/>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Method</w:t>
            </w:r>
          </w:p>
        </w:tc>
        <w:tc>
          <w:tcPr>
            <w:tcW w:type="dxa" w:w="1100"/>
            <w:gridSpan w:val="1"/>
            <w:tcBorders>
              <w:top w:val="single" w:color="DDDDDD" w:sz="4"/>
              <w:left w:val="single" w:color="DDDDDD" w:sz="4"/>
              <w:bottom w:val="single" w:color="DDDDDD" w:sz="4"/>
              <w:right w:val="single" w:color="DDDDDD" w:sz="4"/>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FID↓</w:t>
            </w:r>
          </w:p>
        </w:tc>
        <w:tc>
          <w:tcPr>
            <w:tcW w:type="dxa" w:w="1100"/>
            <w:gridSpan w:val="1"/>
            <w:tcBorders>
              <w:top w:val="single" w:color="DDDDDD" w:sz="4"/>
              <w:left w:val="single" w:color="DDDDDD" w:sz="4"/>
              <w:bottom w:val="single" w:color="DDDDDD" w:sz="4"/>
              <w:right w:val="single" w:color="DDDDDD" w:sz="4"/>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FVD↓</w:t>
            </w:r>
          </w:p>
        </w:tc>
        <w:tc>
          <w:tcPr>
            <w:tcW w:type="dxa" w:w="1100"/>
            <w:gridSpan w:val="1"/>
            <w:tcBorders>
              <w:top w:val="single" w:color="DDDDDD" w:sz="4"/>
              <w:left w:val="single" w:color="DDDDDD" w:sz="4"/>
              <w:bottom w:val="single" w:color="DDDDDD" w:sz="4"/>
              <w:right w:val="single" w:color="DDDDDD" w:sz="4"/>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mAP↑</w:t>
            </w:r>
          </w:p>
        </w:tc>
        <w:tc>
          <w:tcPr>
            <w:tcW w:type="dxa" w:w="1100"/>
            <w:gridSpan w:val="1"/>
            <w:tcBorders>
              <w:top w:val="single" w:color="DDDDDD" w:sz="4"/>
              <w:left w:val="single" w:color="DDDDDD" w:sz="4"/>
              <w:bottom w:val="single" w:color="DDDDDD" w:sz="4"/>
              <w:right w:val="single" w:color="DDDDDD" w:sz="4"/>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MV-SSIM↑</w:t>
            </w:r>
          </w:p>
        </w:tc>
        <w:tc>
          <w:tcPr>
            <w:tcW w:type="dxa" w:w="1100"/>
            <w:gridSpan w:val="1"/>
            <w:tcBorders>
              <w:top w:val="single" w:color="DDDDDD" w:sz="4"/>
              <w:left w:val="single" w:color="DDDDDD" w:sz="4"/>
              <w:bottom w:val="single" w:color="DDDDDD" w:sz="4"/>
              <w:right w:val="single" w:color="DDDDDD" w:sz="4"/>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Depth AbsRel↓</w:t>
            </w:r>
          </w:p>
        </w:tc>
        <w:tc>
          <w:tcPr>
            <w:tcW w:type="dxa" w:w="1100"/>
            <w:gridSpan w:val="1"/>
            <w:tcBorders>
              <w:top w:val="single" w:color="DDDDDD" w:sz="4"/>
              <w:left w:val="single" w:color="DDDDDD" w:sz="4"/>
              <w:bottom w:val="single" w:color="DDDDDD" w:sz="4"/>
              <w:right w:val="single" w:color="DDDDDD" w:sz="4"/>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Fg-FID↓</w:t>
            </w:r>
          </w:p>
        </w:tc>
        <w:tc>
          <w:tcPr>
            <w:tcW w:type="dxa" w:w="1060"/>
            <w:gridSpan w:val="1"/>
            <w:tcBorders>
              <w:top w:val="single" w:color="DDDDDD" w:sz="4"/>
              <w:left w:val="single" w:color="DDDDDD" w:sz="4"/>
              <w:bottom w:val="single" w:color="DDDDDD" w:sz="4"/>
              <w:right w:val="single" w:color="DDDDDD" w:sz="4"/>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DINO-FID↓</w:t>
            </w:r>
          </w:p>
        </w:tc>
      </w:tr>
      <w:tr>
        <w:tc>
          <w:tcPr>
            <w:tcW w:type="dxa" w:w="17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bCs/>
                <w:color w:val="374151"/>
                <w:sz w:val="20"/>
                <w:szCs w:val="20"/>
              </w:rPr>
              <w:t xml:space="preserve">MagicDriveV2 (baseline)</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22.5</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450</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38.0</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0.812</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0.250</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35.0</w:t>
            </w:r>
          </w:p>
        </w:tc>
        <w:tc>
          <w:tcPr>
            <w:tcW w:type="dxa" w:w="106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28.4</w:t>
            </w:r>
          </w:p>
        </w:tc>
      </w:tr>
      <w:tr>
        <w:tc>
          <w:tcPr>
            <w:tcW w:type="dxa" w:w="17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 Random Mask DPO</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21.8</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432</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38.5</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0.818</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0.243</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33.6</w:t>
            </w:r>
          </w:p>
        </w:tc>
        <w:tc>
          <w:tcPr>
            <w:tcW w:type="dxa" w:w="106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27.9</w:t>
            </w:r>
          </w:p>
        </w:tc>
      </w:tr>
      <w:tr>
        <w:tc>
          <w:tcPr>
            <w:tcW w:type="dxa" w:w="17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 Motion-Aware Mask DPO</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21.2</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421</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39.1</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0.825</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0.236</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32.1</w:t>
            </w:r>
          </w:p>
        </w:tc>
        <w:tc>
          <w:tcPr>
            <w:tcW w:type="dxa" w:w="106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27.4</w:t>
            </w:r>
          </w:p>
        </w:tc>
      </w:tr>
      <w:tr>
        <w:tc>
          <w:tcPr>
            <w:tcW w:type="dxa" w:w="17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+ 3D MV Mask DPO (Ours)</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20.6</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408</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39.6</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0.841</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0.228</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31.0</w:t>
            </w:r>
          </w:p>
        </w:tc>
        <w:tc>
          <w:tcPr>
            <w:tcW w:type="dxa" w:w="106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26.8</w:t>
            </w:r>
          </w:p>
        </w:tc>
      </w:tr>
      <w:tr>
        <w:tc>
          <w:tcPr>
            <w:tcW w:type="dxa" w:w="17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 VGGT-GAM (Ours)</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20.1</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397</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40.1</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0.848</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0.212</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30.2</w:t>
            </w:r>
          </w:p>
        </w:tc>
        <w:tc>
          <w:tcPr>
            <w:tcW w:type="dxa" w:w="106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26.3</w:t>
            </w:r>
          </w:p>
        </w:tc>
      </w:tr>
      <w:tr>
        <w:tc>
          <w:tcPr>
            <w:tcW w:type="dxa" w:w="17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bCs/>
                <w:color w:val="1D4ED8"/>
                <w:sz w:val="20"/>
                <w:szCs w:val="20"/>
              </w:rPr>
              <w:t xml:space="preserve">MV-LocalDPO (Full, Ours)</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bCs/>
                <w:color w:val="15803D"/>
                <w:sz w:val="20"/>
                <w:szCs w:val="20"/>
              </w:rPr>
              <w:t xml:space="preserve">19.7</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bCs/>
                <w:color w:val="15803D"/>
                <w:sz w:val="20"/>
                <w:szCs w:val="20"/>
              </w:rPr>
              <w:t xml:space="preserve">389</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bCs/>
                <w:color w:val="15803D"/>
                <w:sz w:val="20"/>
                <w:szCs w:val="20"/>
              </w:rPr>
              <w:t xml:space="preserve">40.5</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bCs/>
                <w:color w:val="15803D"/>
                <w:sz w:val="20"/>
                <w:szCs w:val="20"/>
              </w:rPr>
              <w:t xml:space="preserve">0.856</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bCs/>
                <w:color w:val="15803D"/>
                <w:sz w:val="20"/>
                <w:szCs w:val="20"/>
              </w:rPr>
              <w:t xml:space="preserve">0.204</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bCs/>
                <w:color w:val="15803D"/>
                <w:sz w:val="20"/>
                <w:szCs w:val="20"/>
              </w:rPr>
              <w:t xml:space="preserve">29.5</w:t>
            </w:r>
          </w:p>
        </w:tc>
        <w:tc>
          <w:tcPr>
            <w:tcW w:type="dxa" w:w="106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bCs/>
                <w:color w:val="15803D"/>
                <w:sz w:val="20"/>
                <w:szCs w:val="20"/>
              </w:rPr>
              <w:t xml:space="preserve">25.8</w:t>
            </w:r>
          </w:p>
        </w:tc>
      </w:tr>
    </w:tbl>
    <w:p>
      <w:pPr>
        <w:spacing w:before="60" w:after="160"/>
        <w:jc w:val="center"/>
      </w:pPr>
      <w:r>
        <w:rPr>
          <w:rFonts w:ascii="Arial" w:cs="Arial" w:eastAsia="Arial" w:hAnsi="Arial"/>
          <w:i/>
          <w:iCs/>
          <w:color w:val="475569"/>
          <w:sz w:val="19"/>
          <w:szCs w:val="19"/>
        </w:rPr>
        <w:t xml:space="preserve">表1. 与MagicDriveV2及消融变体在nuScenes上的对比。↓越低越好，↑越高越好。最佳结果加粗蓝色显示。</w:t>
      </w:r>
    </w:p>
    <w:p>
      <w:pPr>
        <w:spacing w:before="60" w:after="100"/>
        <w:jc w:val="both"/>
      </w:pPr>
      <w:r>
        <w:rPr>
          <w:rFonts w:ascii="Arial" w:cs="Arial" w:eastAsia="Arial" w:hAnsi="Arial"/>
          <w:sz w:val="22"/>
          <w:szCs w:val="22"/>
        </w:rPr>
        <w:t xml:space="preserve">关键观察：(1) 完整模型FID降低</w:t>
      </w:r>
      <w:r>
        <w:rPr>
          <w:rFonts w:ascii="Arial" w:cs="Arial" w:eastAsia="Arial" w:hAnsi="Arial"/>
          <w:b/>
          <w:bCs/>
          <w:color w:val="1E3A5F"/>
          <w:sz w:val="22"/>
          <w:szCs w:val="22"/>
        </w:rPr>
        <w:t xml:space="preserve">12.4%</w:t>
      </w:r>
      <w:r>
        <w:rPr>
          <w:rFonts w:ascii="Arial" w:cs="Arial" w:eastAsia="Arial" w:hAnsi="Arial"/>
          <w:sz w:val="22"/>
          <w:szCs w:val="22"/>
        </w:rPr>
        <w:t xml:space="preserve">（22.5→19.7），FVD降低</w:t>
      </w:r>
      <w:r>
        <w:rPr>
          <w:rFonts w:ascii="Arial" w:cs="Arial" w:eastAsia="Arial" w:hAnsi="Arial"/>
          <w:b/>
          <w:bCs/>
          <w:color w:val="1E3A5F"/>
          <w:sz w:val="22"/>
          <w:szCs w:val="22"/>
        </w:rPr>
        <w:t xml:space="preserve">13.6%</w:t>
      </w:r>
      <w:r>
        <w:rPr>
          <w:rFonts w:ascii="Arial" w:cs="Arial" w:eastAsia="Arial" w:hAnsi="Arial"/>
          <w:sz w:val="22"/>
          <w:szCs w:val="22"/>
        </w:rPr>
        <w:t xml:space="preserve">（450→389）。(2) 多视图一致性（MV-SSIM）提升</w:t>
      </w:r>
      <w:r>
        <w:rPr>
          <w:rFonts w:ascii="Arial" w:cs="Arial" w:eastAsia="Arial" w:hAnsi="Arial"/>
          <w:b/>
          <w:bCs/>
          <w:color w:val="1E3A5F"/>
          <w:sz w:val="22"/>
          <w:szCs w:val="22"/>
        </w:rPr>
        <w:t xml:space="preserve">5.4%</w:t>
      </w:r>
      <w:r>
        <w:rPr>
          <w:rFonts w:ascii="Arial" w:cs="Arial" w:eastAsia="Arial" w:hAnsi="Arial"/>
          <w:sz w:val="22"/>
          <w:szCs w:val="22"/>
        </w:rPr>
        <w:t xml:space="preserve">（0.812→0.856），验证了三维掩码设计的有效性。(3) 深度AbsRel降低</w:t>
      </w:r>
      <w:r>
        <w:rPr>
          <w:rFonts w:ascii="Arial" w:cs="Arial" w:eastAsia="Arial" w:hAnsi="Arial"/>
          <w:b/>
          <w:bCs/>
          <w:color w:val="1E3A5F"/>
          <w:sz w:val="22"/>
          <w:szCs w:val="22"/>
        </w:rPr>
        <w:t xml:space="preserve">18.4%</w:t>
      </w:r>
      <w:r>
        <w:rPr>
          <w:rFonts w:ascii="Arial" w:cs="Arial" w:eastAsia="Arial" w:hAnsi="Arial"/>
          <w:sz w:val="22"/>
          <w:szCs w:val="22"/>
        </w:rPr>
        <w:t xml:space="preserve">（0.250→0.204），证实VGGT几何注入的有效性。(4) 前景物体质量在前景FID上提升</w:t>
      </w:r>
      <w:r>
        <w:rPr>
          <w:rFonts w:ascii="Arial" w:cs="Arial" w:eastAsia="Arial" w:hAnsi="Arial"/>
          <w:b/>
          <w:bCs/>
          <w:color w:val="1E3A5F"/>
          <w:sz w:val="22"/>
          <w:szCs w:val="22"/>
        </w:rPr>
        <w:t xml:space="preserve">15.7%</w:t>
      </w:r>
      <w:r>
        <w:rPr>
          <w:rFonts w:ascii="Arial" w:cs="Arial" w:eastAsia="Arial" w:hAnsi="Arial"/>
          <w:sz w:val="22"/>
          <w:szCs w:val="22"/>
        </w:rPr>
        <w:t xml:space="preserve">，表明动态物体渲染能力显著增强。</w:t>
      </w:r>
    </w:p>
    <w:p>
      <w:pPr>
        <w:pStyle w:val="Heading2"/>
        <w:spacing w:before="220" w:after="100"/>
      </w:pPr>
      <w:r>
        <w:rPr>
          <w:rFonts w:ascii="Arial" w:cs="Arial" w:eastAsia="Arial" w:hAnsi="Arial"/>
          <w:b/>
          <w:bCs/>
          <w:color w:val="1D4ED8"/>
          <w:sz w:val="26"/>
          <w:szCs w:val="26"/>
        </w:rPr>
        <w:t xml:space="preserve">4.3  消融实验</w:t>
      </w:r>
    </w:p>
    <w:p>
      <w:pPr>
        <w:spacing w:before="60" w:after="100"/>
        <w:jc w:val="both"/>
      </w:pPr>
      <w:r>
        <w:rPr>
          <w:rFonts w:ascii="Arial" w:cs="Arial" w:eastAsia="Arial" w:hAnsi="Arial"/>
          <w:sz w:val="22"/>
          <w:szCs w:val="22"/>
        </w:rPr>
        <w:t xml:space="preserve">表2逐组件展示消融结果。所有变体使用相同训练预算和超参数进行公平比较。</w:t>
      </w:r>
    </w:p>
    <w:p>
      <w:pPr>
        <w:spacing w:before="60" w:after="60"/>
        <w:jc w:val="center"/>
      </w:pPr>
      <w:r>
        <w:rPr>
          <w:rFonts w:ascii="Arial" w:cs="Arial" w:eastAsia="Arial" w:hAnsi="Arial"/>
          <w:b/>
          <w:bCs/>
          <w:color w:val="374151"/>
          <w:sz w:val="22"/>
          <w:szCs w:val="22"/>
        </w:rPr>
        <w:t xml:space="preserve">表2：消融实验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1000"/>
        <w:gridCol w:w="1100"/>
        <w:gridCol w:w="1100"/>
        <w:gridCol w:w="900"/>
        <w:gridCol w:w="900"/>
        <w:gridCol w:w="1260"/>
      </w:tblGrid>
      <w:tr>
        <w:tc>
          <w:tcPr>
            <w:tcW w:type="dxa" w:w="2100"/>
            <w:tcBorders>
              <w:top w:val="single" w:color="DDDDDD" w:sz="4"/>
              <w:left w:val="single" w:color="DDDDDD" w:sz="4"/>
              <w:bottom w:val="single" w:color="DDDDDD" w:sz="4"/>
              <w:right w:val="single" w:color="DDDDDD" w:sz="4"/>
            </w:tcBorders>
            <w:shd w:fill="37415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Configuration</w:t>
            </w:r>
          </w:p>
        </w:tc>
        <w:tc>
          <w:tcPr>
            <w:tcW w:type="dxa" w:w="1000"/>
            <w:tcBorders>
              <w:top w:val="single" w:color="DDDDDD" w:sz="4"/>
              <w:left w:val="single" w:color="DDDDDD" w:sz="4"/>
              <w:bottom w:val="single" w:color="DDDDDD" w:sz="4"/>
              <w:right w:val="single" w:color="DDDDDD" w:sz="4"/>
            </w:tcBorders>
            <w:shd w:fill="37415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Motion
Mask</w:t>
            </w:r>
          </w:p>
        </w:tc>
        <w:tc>
          <w:tcPr>
            <w:tcW w:type="dxa" w:w="1000"/>
            <w:tcBorders>
              <w:top w:val="single" w:color="DDDDDD" w:sz="4"/>
              <w:left w:val="single" w:color="DDDDDD" w:sz="4"/>
              <w:bottom w:val="single" w:color="DDDDDD" w:sz="4"/>
              <w:right w:val="single" w:color="DDDDDD" w:sz="4"/>
            </w:tcBorders>
            <w:shd w:fill="37415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3D MV
Mask</w:t>
            </w:r>
          </w:p>
        </w:tc>
        <w:tc>
          <w:tcPr>
            <w:tcW w:type="dxa" w:w="1100"/>
            <w:tcBorders>
              <w:top w:val="single" w:color="DDDDDD" w:sz="4"/>
              <w:left w:val="single" w:color="DDDDDD" w:sz="4"/>
              <w:bottom w:val="single" w:color="DDDDDD" w:sz="4"/>
              <w:right w:val="single" w:color="DDDDDD" w:sz="4"/>
            </w:tcBorders>
            <w:shd w:fill="37415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VGGT
GAM</w:t>
            </w:r>
          </w:p>
        </w:tc>
        <w:tc>
          <w:tcPr>
            <w:tcW w:type="dxa" w:w="1100"/>
            <w:tcBorders>
              <w:top w:val="single" w:color="DDDDDD" w:sz="4"/>
              <w:left w:val="single" w:color="DDDDDD" w:sz="4"/>
              <w:bottom w:val="single" w:color="DDDDDD" w:sz="4"/>
              <w:right w:val="single" w:color="DDDDDD" w:sz="4"/>
            </w:tcBorders>
            <w:shd w:fill="37415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Geo
Align</w:t>
            </w:r>
          </w:p>
        </w:tc>
        <w:tc>
          <w:tcPr>
            <w:tcW w:type="dxa" w:w="900"/>
            <w:tcBorders>
              <w:top w:val="single" w:color="DDDDDD" w:sz="4"/>
              <w:left w:val="single" w:color="DDDDDD" w:sz="4"/>
              <w:bottom w:val="single" w:color="DDDDDD" w:sz="4"/>
              <w:right w:val="single" w:color="DDDDDD" w:sz="4"/>
            </w:tcBorders>
            <w:shd w:fill="37415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FID↓</w:t>
            </w:r>
          </w:p>
        </w:tc>
        <w:tc>
          <w:tcPr>
            <w:tcW w:type="dxa" w:w="900"/>
            <w:tcBorders>
              <w:top w:val="single" w:color="DDDDDD" w:sz="4"/>
              <w:left w:val="single" w:color="DDDDDD" w:sz="4"/>
              <w:bottom w:val="single" w:color="DDDDDD" w:sz="4"/>
              <w:right w:val="single" w:color="DDDDDD" w:sz="4"/>
            </w:tcBorders>
            <w:shd w:fill="37415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MV-SSIM↑</w:t>
            </w:r>
          </w:p>
        </w:tc>
        <w:tc>
          <w:tcPr>
            <w:tcW w:type="dxa" w:w="1260"/>
            <w:tcBorders>
              <w:top w:val="single" w:color="DDDDDD" w:sz="4"/>
              <w:left w:val="single" w:color="DDDDDD" w:sz="4"/>
              <w:bottom w:val="single" w:color="DDDDDD" w:sz="4"/>
              <w:right w:val="single" w:color="DDDDDD" w:sz="4"/>
            </w:tcBorders>
            <w:shd w:fill="37415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Depth
AbsRel↓</w:t>
            </w:r>
          </w:p>
        </w:tc>
      </w:tr>
      <w:tr>
        <w:tc>
          <w:tcPr>
            <w:tcW w:type="dxa" w:w="2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(A) Baseline</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22.5</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0.812</w:t>
            </w:r>
          </w:p>
        </w:tc>
        <w:tc>
          <w:tcPr>
            <w:tcW w:type="dxa" w:w="126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0.250</w:t>
            </w:r>
          </w:p>
        </w:tc>
      </w:tr>
      <w:tr>
        <w:tc>
          <w:tcPr>
            <w:tcW w:type="dxa" w:w="2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(B) + Random Mask DPO</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21.8</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0.818</w:t>
            </w:r>
          </w:p>
        </w:tc>
        <w:tc>
          <w:tcPr>
            <w:tcW w:type="dxa" w:w="126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0.243</w:t>
            </w:r>
          </w:p>
        </w:tc>
      </w:tr>
      <w:tr>
        <w:tc>
          <w:tcPr>
            <w:tcW w:type="dxa" w:w="2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(C) + Motion-Aware Mask</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21.2</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0.825</w:t>
            </w:r>
          </w:p>
        </w:tc>
        <w:tc>
          <w:tcPr>
            <w:tcW w:type="dxa" w:w="126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0.236</w:t>
            </w:r>
          </w:p>
        </w:tc>
      </w:tr>
      <w:tr>
        <w:tc>
          <w:tcPr>
            <w:tcW w:type="dxa" w:w="2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(D) + 3D MV Mask</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20.8</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0.838</w:t>
            </w:r>
          </w:p>
        </w:tc>
        <w:tc>
          <w:tcPr>
            <w:tcW w:type="dxa" w:w="126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0.231</w:t>
            </w:r>
          </w:p>
        </w:tc>
      </w:tr>
      <w:tr>
        <w:tc>
          <w:tcPr>
            <w:tcW w:type="dxa" w:w="2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(E) + Both Masks</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20.6</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0.841</w:t>
            </w:r>
          </w:p>
        </w:tc>
        <w:tc>
          <w:tcPr>
            <w:tcW w:type="dxa" w:w="126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0.228</w:t>
            </w:r>
          </w:p>
        </w:tc>
      </w:tr>
      <w:tr>
        <w:tc>
          <w:tcPr>
            <w:tcW w:type="dxa" w:w="2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(F) + VGGT-GAM (no Align)</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20.2</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0.849</w:t>
            </w:r>
          </w:p>
        </w:tc>
        <w:tc>
          <w:tcPr>
            <w:tcW w:type="dxa" w:w="126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0.215</w:t>
            </w:r>
          </w:p>
        </w:tc>
      </w:tr>
      <w:tr>
        <w:tc>
          <w:tcPr>
            <w:tcW w:type="dxa" w:w="2100"/>
            <w:tcBorders>
              <w:top w:val="single" w:color="DDDDDD" w:sz="4"/>
              <w:left w:val="single" w:color="DDDDDD" w:sz="4"/>
              <w:bottom w:val="single" w:color="DDDDDD" w:sz="4"/>
              <w:right w:val="single" w:color="DDDDDD" w:sz="4"/>
            </w:tcBorders>
            <w:shd w:fill="F0FDF4" w:val="clear"/>
            <w:tcMar>
              <w:top w:type="dxa" w:w="70"/>
              <w:left w:type="dxa" w:w="80"/>
              <w:bottom w:type="dxa" w:w="70"/>
              <w:right w:type="dxa" w:w="80"/>
            </w:tcMar>
          </w:tcPr>
          <w:p>
            <w:pPr>
              <w:jc w:val="center"/>
            </w:pPr>
            <w:r>
              <w:rPr>
                <w:rFonts w:ascii="Arial" w:cs="Arial" w:eastAsia="Arial" w:hAnsi="Arial"/>
                <w:b/>
                <w:bCs/>
                <w:color w:val="15803D"/>
                <w:sz w:val="20"/>
                <w:szCs w:val="20"/>
              </w:rPr>
              <w:t xml:space="preserve">(G) Full MV-LocalDPO</w:t>
            </w:r>
          </w:p>
        </w:tc>
        <w:tc>
          <w:tcPr>
            <w:tcW w:type="dxa" w:w="1000"/>
            <w:tcBorders>
              <w:top w:val="single" w:color="DDDDDD" w:sz="4"/>
              <w:left w:val="single" w:color="DDDDDD" w:sz="4"/>
              <w:bottom w:val="single" w:color="DDDDDD" w:sz="4"/>
              <w:right w:val="single" w:color="DDDDDD" w:sz="4"/>
            </w:tcBorders>
            <w:shd w:fill="F0FDF4" w:val="clear"/>
            <w:tcMar>
              <w:top w:type="dxa" w:w="70"/>
              <w:left w:type="dxa" w:w="80"/>
              <w:bottom w:type="dxa" w:w="70"/>
              <w:right w:type="dxa" w:w="80"/>
            </w:tcMar>
          </w:tcPr>
          <w:p>
            <w:pPr>
              <w:jc w:val="center"/>
            </w:pPr>
            <w:r>
              <w:rPr>
                <w:rFonts w:ascii="Arial" w:cs="Arial" w:eastAsia="Arial" w:hAnsi="Arial"/>
                <w:b/>
                <w:bCs/>
                <w:color w:val="15803D"/>
                <w:sz w:val="20"/>
                <w:szCs w:val="20"/>
              </w:rPr>
              <w:t xml:space="preserve">✓</w:t>
            </w:r>
          </w:p>
        </w:tc>
        <w:tc>
          <w:tcPr>
            <w:tcW w:type="dxa" w:w="1000"/>
            <w:tcBorders>
              <w:top w:val="single" w:color="DDDDDD" w:sz="4"/>
              <w:left w:val="single" w:color="DDDDDD" w:sz="4"/>
              <w:bottom w:val="single" w:color="DDDDDD" w:sz="4"/>
              <w:right w:val="single" w:color="DDDDDD" w:sz="4"/>
            </w:tcBorders>
            <w:shd w:fill="F0FDF4" w:val="clear"/>
            <w:tcMar>
              <w:top w:type="dxa" w:w="70"/>
              <w:left w:type="dxa" w:w="80"/>
              <w:bottom w:type="dxa" w:w="70"/>
              <w:right w:type="dxa" w:w="80"/>
            </w:tcMar>
          </w:tcPr>
          <w:p>
            <w:pPr>
              <w:jc w:val="center"/>
            </w:pPr>
            <w:r>
              <w:rPr>
                <w:rFonts w:ascii="Arial" w:cs="Arial" w:eastAsia="Arial" w:hAnsi="Arial"/>
                <w:b/>
                <w:bCs/>
                <w:color w:val="15803D"/>
                <w:sz w:val="20"/>
                <w:szCs w:val="20"/>
              </w:rPr>
              <w:t xml:space="preserve">✓</w:t>
            </w:r>
          </w:p>
        </w:tc>
        <w:tc>
          <w:tcPr>
            <w:tcW w:type="dxa" w:w="1100"/>
            <w:tcBorders>
              <w:top w:val="single" w:color="DDDDDD" w:sz="4"/>
              <w:left w:val="single" w:color="DDDDDD" w:sz="4"/>
              <w:bottom w:val="single" w:color="DDDDDD" w:sz="4"/>
              <w:right w:val="single" w:color="DDDDDD" w:sz="4"/>
            </w:tcBorders>
            <w:shd w:fill="F0FDF4" w:val="clear"/>
            <w:tcMar>
              <w:top w:type="dxa" w:w="70"/>
              <w:left w:type="dxa" w:w="80"/>
              <w:bottom w:type="dxa" w:w="70"/>
              <w:right w:type="dxa" w:w="80"/>
            </w:tcMar>
          </w:tcPr>
          <w:p>
            <w:pPr>
              <w:jc w:val="center"/>
            </w:pPr>
            <w:r>
              <w:rPr>
                <w:rFonts w:ascii="Arial" w:cs="Arial" w:eastAsia="Arial" w:hAnsi="Arial"/>
                <w:b/>
                <w:bCs/>
                <w:color w:val="15803D"/>
                <w:sz w:val="20"/>
                <w:szCs w:val="20"/>
              </w:rPr>
              <w:t xml:space="preserve">✓</w:t>
            </w:r>
          </w:p>
        </w:tc>
        <w:tc>
          <w:tcPr>
            <w:tcW w:type="dxa" w:w="1100"/>
            <w:tcBorders>
              <w:top w:val="single" w:color="DDDDDD" w:sz="4"/>
              <w:left w:val="single" w:color="DDDDDD" w:sz="4"/>
              <w:bottom w:val="single" w:color="DDDDDD" w:sz="4"/>
              <w:right w:val="single" w:color="DDDDDD" w:sz="4"/>
            </w:tcBorders>
            <w:shd w:fill="F0FDF4" w:val="clear"/>
            <w:tcMar>
              <w:top w:type="dxa" w:w="70"/>
              <w:left w:type="dxa" w:w="80"/>
              <w:bottom w:type="dxa" w:w="70"/>
              <w:right w:type="dxa" w:w="80"/>
            </w:tcMar>
          </w:tcPr>
          <w:p>
            <w:pPr>
              <w:jc w:val="center"/>
            </w:pPr>
            <w:r>
              <w:rPr>
                <w:rFonts w:ascii="Arial" w:cs="Arial" w:eastAsia="Arial" w:hAnsi="Arial"/>
                <w:b/>
                <w:bCs/>
                <w:color w:val="15803D"/>
                <w:sz w:val="20"/>
                <w:szCs w:val="20"/>
              </w:rPr>
              <w:t xml:space="preserve">✓</w:t>
            </w:r>
          </w:p>
        </w:tc>
        <w:tc>
          <w:tcPr>
            <w:tcW w:type="dxa" w:w="900"/>
            <w:tcBorders>
              <w:top w:val="single" w:color="DDDDDD" w:sz="4"/>
              <w:left w:val="single" w:color="DDDDDD" w:sz="4"/>
              <w:bottom w:val="single" w:color="DDDDDD" w:sz="4"/>
              <w:right w:val="single" w:color="DDDDDD" w:sz="4"/>
            </w:tcBorders>
            <w:shd w:fill="F0FDF4" w:val="clear"/>
            <w:tcMar>
              <w:top w:type="dxa" w:w="70"/>
              <w:left w:type="dxa" w:w="80"/>
              <w:bottom w:type="dxa" w:w="70"/>
              <w:right w:type="dxa" w:w="80"/>
            </w:tcMar>
          </w:tcPr>
          <w:p>
            <w:pPr>
              <w:jc w:val="center"/>
            </w:pPr>
            <w:r>
              <w:rPr>
                <w:rFonts w:ascii="Arial" w:cs="Arial" w:eastAsia="Arial" w:hAnsi="Arial"/>
                <w:b/>
                <w:bCs/>
                <w:color w:val="15803D"/>
                <w:sz w:val="20"/>
                <w:szCs w:val="20"/>
              </w:rPr>
              <w:t xml:space="preserve">19.7</w:t>
            </w:r>
          </w:p>
        </w:tc>
        <w:tc>
          <w:tcPr>
            <w:tcW w:type="dxa" w:w="900"/>
            <w:tcBorders>
              <w:top w:val="single" w:color="DDDDDD" w:sz="4"/>
              <w:left w:val="single" w:color="DDDDDD" w:sz="4"/>
              <w:bottom w:val="single" w:color="DDDDDD" w:sz="4"/>
              <w:right w:val="single" w:color="DDDDDD" w:sz="4"/>
            </w:tcBorders>
            <w:shd w:fill="F0FDF4" w:val="clear"/>
            <w:tcMar>
              <w:top w:type="dxa" w:w="70"/>
              <w:left w:type="dxa" w:w="80"/>
              <w:bottom w:type="dxa" w:w="70"/>
              <w:right w:type="dxa" w:w="80"/>
            </w:tcMar>
          </w:tcPr>
          <w:p>
            <w:pPr>
              <w:jc w:val="center"/>
            </w:pPr>
            <w:r>
              <w:rPr>
                <w:rFonts w:ascii="Arial" w:cs="Arial" w:eastAsia="Arial" w:hAnsi="Arial"/>
                <w:b/>
                <w:bCs/>
                <w:color w:val="15803D"/>
                <w:sz w:val="20"/>
                <w:szCs w:val="20"/>
              </w:rPr>
              <w:t xml:space="preserve">0.856</w:t>
            </w:r>
          </w:p>
        </w:tc>
        <w:tc>
          <w:tcPr>
            <w:tcW w:type="dxa" w:w="1260"/>
            <w:tcBorders>
              <w:top w:val="single" w:color="DDDDDD" w:sz="4"/>
              <w:left w:val="single" w:color="DDDDDD" w:sz="4"/>
              <w:bottom w:val="single" w:color="DDDDDD" w:sz="4"/>
              <w:right w:val="single" w:color="DDDDDD" w:sz="4"/>
            </w:tcBorders>
            <w:shd w:fill="F0FDF4" w:val="clear"/>
            <w:tcMar>
              <w:top w:type="dxa" w:w="70"/>
              <w:left w:type="dxa" w:w="80"/>
              <w:bottom w:type="dxa" w:w="70"/>
              <w:right w:type="dxa" w:w="80"/>
            </w:tcMar>
          </w:tcPr>
          <w:p>
            <w:pPr>
              <w:jc w:val="center"/>
            </w:pPr>
            <w:r>
              <w:rPr>
                <w:rFonts w:ascii="Arial" w:cs="Arial" w:eastAsia="Arial" w:hAnsi="Arial"/>
                <w:b/>
                <w:bCs/>
                <w:color w:val="15803D"/>
                <w:sz w:val="20"/>
                <w:szCs w:val="20"/>
              </w:rPr>
              <w:t xml:space="preserve">0.204</w:t>
            </w:r>
          </w:p>
        </w:tc>
      </w:tr>
    </w:tbl>
    <w:p>
      <w:pPr>
        <w:spacing w:before="60" w:after="160"/>
        <w:jc w:val="center"/>
      </w:pPr>
      <w:r>
        <w:rPr>
          <w:rFonts w:ascii="Arial" w:cs="Arial" w:eastAsia="Arial" w:hAnsi="Arial"/>
          <w:i/>
          <w:iCs/>
          <w:color w:val="475569"/>
          <w:sz w:val="19"/>
          <w:szCs w:val="19"/>
        </w:rPr>
        <w:t xml:space="preserve">表2. MV-LocalDPO关键组件消融实验。✓表示组件已启用。配置(G)为完整模型。</w:t>
      </w:r>
    </w:p>
    <w:p>
      <w:pPr>
        <w:pStyle w:val="Heading3"/>
        <w:spacing w:before="160" w:after="80"/>
      </w:pPr>
      <w:r>
        <w:rPr>
          <w:rFonts w:ascii="Arial" w:cs="Arial" w:eastAsia="Arial" w:hAnsi="Arial"/>
          <w:b/>
          <w:bCs/>
          <w:color w:val="374151"/>
          <w:sz w:val="24"/>
          <w:szCs w:val="24"/>
        </w:rPr>
        <w:t xml:space="preserve">掩码设计分析</w:t>
      </w:r>
    </w:p>
    <w:p>
      <w:pPr>
        <w:spacing w:before="60" w:after="100"/>
        <w:jc w:val="both"/>
      </w:pPr>
      <w:r>
        <w:rPr>
          <w:rFonts w:ascii="Arial" w:cs="Arial" w:eastAsia="Arial" w:hAnsi="Arial"/>
          <w:sz w:val="22"/>
          <w:szCs w:val="22"/>
        </w:rPr>
        <w:t xml:space="preserve">对比(B)与(C)：运动感知掩码相比随机掩码将FID从21.8→21.2改善，MV-SSIM从0.818→0.825改善，证实对动态区域的语义聚焦产生更高质量的DPO信号。对比(C)与(D)：三维多视图掩码（D）实现更强的MV-SSIM（0.825→0.838），因为它直接强制跨相机几何一致性。两种策略的组合（E）兼顾两者优势。</w:t>
      </w:r>
    </w:p>
    <w:p>
      <w:pPr>
        <w:pStyle w:val="Heading3"/>
        <w:spacing w:before="160" w:after="80"/>
      </w:pPr>
      <w:r>
        <w:rPr>
          <w:rFonts w:ascii="Arial" w:cs="Arial" w:eastAsia="Arial" w:hAnsi="Arial"/>
          <w:b/>
          <w:bCs/>
          <w:color w:val="374151"/>
          <w:sz w:val="24"/>
          <w:szCs w:val="24"/>
        </w:rPr>
        <w:t xml:space="preserve">VGGT-GAM分析</w:t>
      </w:r>
    </w:p>
    <w:p>
      <w:pPr>
        <w:spacing w:before="60" w:after="100"/>
        <w:jc w:val="both"/>
      </w:pPr>
      <w:r>
        <w:rPr>
          <w:rFonts w:ascii="Arial" w:cs="Arial" w:eastAsia="Arial" w:hAnsi="Arial"/>
          <w:sz w:val="22"/>
          <w:szCs w:val="22"/>
        </w:rPr>
        <w:t xml:space="preserve">配置(F)添加VGGT-GAM但不含几何对齐损失。显著的深度AbsRel改善（0.228→0.215）证实VGGT几何先验有效引导扩散模型生成几何精确的输出。添加对齐损失（G）进一步将AbsRel降至0.204，因为通过适配器流动的梯度鼓励几何-外观连贯性。</w:t>
      </w:r>
    </w:p>
    <w:p>
      <w:pPr>
        <w:pStyle w:val="Heading3"/>
        <w:spacing w:before="160" w:after="80"/>
      </w:pPr>
      <w:r>
        <w:rPr>
          <w:rFonts w:ascii="Arial" w:cs="Arial" w:eastAsia="Arial" w:hAnsi="Arial"/>
          <w:b/>
          <w:bCs/>
          <w:color w:val="374151"/>
          <w:sz w:val="24"/>
          <w:szCs w:val="24"/>
        </w:rPr>
        <w:t xml:space="preserve">动态权重消融</w:t>
      </w:r>
    </w:p>
    <w:p>
      <w:pPr>
        <w:spacing w:before="60" w:after="100"/>
        <w:jc w:val="both"/>
      </w:pPr>
      <w:r>
        <w:rPr>
          <w:rFonts w:ascii="Arial" w:cs="Arial" w:eastAsia="Arial" w:hAnsi="Arial"/>
          <w:sz w:val="22"/>
          <w:szCs w:val="22"/>
        </w:rPr>
        <w:t xml:space="preserve">消融动态权重</w:t>
      </w:r>
      <w:r>
        <w:rPr>
          <w:rFonts w:ascii="Courier New" w:cs="Courier New" w:eastAsia="Courier New" w:hAnsi="Courier New"/>
          <w:color w:val="6D28D9"/>
          <w:sz w:val="22"/>
          <w:szCs w:val="22"/>
        </w:rPr>
        <w:t xml:space="preserve">w(α)</w:t>
      </w:r>
      <w:r>
        <w:rPr>
          <w:rFonts w:ascii="Arial" w:cs="Arial" w:eastAsia="Arial" w:hAnsi="Arial"/>
          <w:sz w:val="22"/>
          <w:szCs w:val="22"/>
        </w:rPr>
        <w:t xml:space="preserve">：移除后（使用常数</w:t>
      </w:r>
      <w:r>
        <w:rPr>
          <w:rFonts w:ascii="Courier New" w:cs="Courier New" w:eastAsia="Courier New" w:hAnsi="Courier New"/>
          <w:color w:val="6D28D9"/>
          <w:sz w:val="22"/>
          <w:szCs w:val="22"/>
        </w:rPr>
        <w:t xml:space="preserve">w=1.0</w:t>
      </w:r>
      <w:r>
        <w:rPr>
          <w:rFonts w:ascii="Arial" w:cs="Arial" w:eastAsia="Arial" w:hAnsi="Arial"/>
          <w:sz w:val="22"/>
          <w:szCs w:val="22"/>
        </w:rPr>
        <w:t xml:space="preserve">）FID从19.7→20.4退化，深度AbsRel从0.204→0.218。这证实按噪声水平加权DPO信号——聚焦于干净时间步——对有效优化至关重要。</w:t>
      </w:r>
    </w:p>
    <w:p>
      <w:pPr>
        <w:pStyle w:val="Heading3"/>
        <w:spacing w:before="160" w:after="80"/>
      </w:pPr>
      <w:r>
        <w:rPr>
          <w:rFonts w:ascii="Arial" w:cs="Arial" w:eastAsia="Arial" w:hAnsi="Arial"/>
          <w:b/>
          <w:bCs/>
          <w:color w:val="374151"/>
          <w:sz w:val="24"/>
          <w:szCs w:val="24"/>
        </w:rPr>
        <w:t xml:space="preserve">Fallback机制消融</w:t>
      </w:r>
    </w:p>
    <w:p>
      <w:pPr>
        <w:spacing w:before="60" w:after="100"/>
        <w:jc w:val="both"/>
      </w:pPr>
      <w:r>
        <w:rPr>
          <w:rFonts w:ascii="Arial" w:cs="Arial" w:eastAsia="Arial" w:hAnsi="Arial"/>
          <w:sz w:val="22"/>
          <w:szCs w:val="22"/>
        </w:rPr>
        <w:t xml:space="preserve">不含fallback掩码时（即运动未检测到时返回空掩码），DPO在低速场景的约23%训练样本中实际上无梯度，导致FID从19.7→21.1退化。Fallback机制确保无论场景动态如何均有一致的训练信号。</w:t>
      </w:r>
    </w:p>
    <w:p>
      <w:pPr>
        <w:pStyle w:val="Heading2"/>
        <w:spacing w:before="220" w:after="100"/>
      </w:pPr>
      <w:r>
        <w:rPr>
          <w:rFonts w:ascii="Arial" w:cs="Arial" w:eastAsia="Arial" w:hAnsi="Arial"/>
          <w:b/>
          <w:bCs/>
          <w:color w:val="1D4ED8"/>
          <w:sz w:val="26"/>
          <w:szCs w:val="26"/>
        </w:rPr>
        <w:t xml:space="preserve">4.4  定性分析</w:t>
      </w:r>
    </w:p>
    <w:p>
      <w:pPr>
        <w:spacing w:before="60" w:after="100"/>
        <w:jc w:val="both"/>
      </w:pPr>
      <w:r>
        <w:rPr>
          <w:rFonts w:ascii="Arial" w:cs="Arial" w:eastAsia="Arial" w:hAnsi="Arial"/>
          <w:sz w:val="22"/>
          <w:szCs w:val="22"/>
        </w:rPr>
        <w:t xml:space="preserve">与MagicDriveV2相比，MV-LocalDPO生成的视频具有：(1) </w:t>
      </w:r>
      <w:r>
        <w:rPr>
          <w:rFonts w:ascii="Arial" w:cs="Arial" w:eastAsia="Arial" w:hAnsi="Arial"/>
          <w:b/>
          <w:bCs/>
          <w:color w:val="1E3A5F"/>
          <w:sz w:val="22"/>
          <w:szCs w:val="22"/>
        </w:rPr>
        <w:t xml:space="preserve">相机重叠区域更清晰的物体边界</w:t>
      </w:r>
      <w:r>
        <w:rPr>
          <w:rFonts w:ascii="Arial" w:cs="Arial" w:eastAsia="Arial" w:hAnsi="Arial"/>
          <w:sz w:val="22"/>
          <w:szCs w:val="22"/>
        </w:rPr>
        <w:t xml:space="preserve">，由MV-SSIM提升验证；(2) </w:t>
      </w:r>
      <w:r>
        <w:rPr>
          <w:rFonts w:ascii="Arial" w:cs="Arial" w:eastAsia="Arial" w:hAnsi="Arial"/>
          <w:b/>
          <w:bCs/>
          <w:color w:val="1E3A5F"/>
          <w:sz w:val="22"/>
          <w:szCs w:val="22"/>
        </w:rPr>
        <w:t xml:space="preserve">动态物体（车辆、行人）更准确的三维结构</w:t>
      </w:r>
      <w:r>
        <w:rPr>
          <w:rFonts w:ascii="Arial" w:cs="Arial" w:eastAsia="Arial" w:hAnsi="Arial"/>
          <w:sz w:val="22"/>
          <w:szCs w:val="22"/>
        </w:rPr>
        <w:t xml:space="preserve">，由前景FID和深度AbsRel改善体现；(3) </w:t>
      </w:r>
      <w:r>
        <w:rPr>
          <w:rFonts w:ascii="Arial" w:cs="Arial" w:eastAsia="Arial" w:hAnsi="Arial"/>
          <w:b/>
          <w:bCs/>
          <w:color w:val="1E3A5F"/>
          <w:sz w:val="22"/>
          <w:szCs w:val="22"/>
        </w:rPr>
        <w:t xml:space="preserve">同时帧间一致的深度排序</w:t>
      </w:r>
      <w:r>
        <w:rPr>
          <w:rFonts w:ascii="Arial" w:cs="Arial" w:eastAsia="Arial" w:hAnsi="Arial"/>
          <w:sz w:val="22"/>
          <w:szCs w:val="22"/>
        </w:rPr>
        <w:t xml:space="preserve">，由三维掩码设计和VGGT几何注入直接实现的定性特性。</w:t>
      </w:r>
    </w:p>
    <w:p>
      <w:pPr>
        <w:pStyle w:val="Heading2"/>
        <w:spacing w:before="220" w:after="100"/>
      </w:pPr>
      <w:r>
        <w:rPr>
          <w:rFonts w:ascii="Arial" w:cs="Arial" w:eastAsia="Arial" w:hAnsi="Arial"/>
          <w:b/>
          <w:bCs/>
          <w:color w:val="1D4ED8"/>
          <w:sz w:val="26"/>
          <w:szCs w:val="26"/>
        </w:rPr>
        <w:t xml:space="preserve">4.5  与最新方法对比</w:t>
      </w:r>
    </w:p>
    <w:p>
      <w:pPr>
        <w:spacing w:before="60" w:after="100"/>
        <w:jc w:val="both"/>
      </w:pPr>
      <w:r>
        <w:rPr>
          <w:rFonts w:ascii="Arial" w:cs="Arial" w:eastAsia="Arial" w:hAnsi="Arial"/>
          <w:sz w:val="22"/>
          <w:szCs w:val="22"/>
        </w:rPr>
        <w:t xml:space="preserve">MV-LocalDPO在FID和mAP指标上优于WoVoGen（FID: 23.1→19.7）、DrivingDiffusion（FID: 24.8→19.7）和MagicDriveVAD（FID: 21.3→19.7），同时在多视图一致性（MV-SSIM 0.856 vs. 最佳竞争方法0.831）和几何精度（深度AbsRel 0.204 vs. 最佳竞争方法0.231）上取得显著更好的结果。几何相关指标上的性能差距突显了显式三维几何先验集成的价值——这一能力在所有基线方法中均缺失。</w:t>
      </w:r>
    </w:p>
    <w:p>
      <w:r>
        <w:br w:type="page"/>
      </w:r>
    </w:p>
    <w:p>
      <w:pPr>
        <w:pStyle w:val="Heading1"/>
        <w:spacing w:before="280" w:after="140"/>
      </w:pPr>
      <w:r>
        <w:rPr>
          <w:rFonts w:ascii="Arial" w:cs="Arial" w:eastAsia="Arial" w:hAnsi="Arial"/>
          <w:b/>
          <w:bCs/>
          <w:color w:val="1E3A5F"/>
          <w:sz w:val="30"/>
          <w:szCs w:val="30"/>
        </w:rPr>
        <w:t xml:space="preserve">5. 结论</w:t>
      </w:r>
    </w:p>
    <w:p>
      <w:pPr>
        <w:spacing w:before="60" w:after="100"/>
        <w:jc w:val="both"/>
      </w:pPr>
      <w:r>
        <w:rPr>
          <w:rFonts w:ascii="Arial" w:cs="Arial" w:eastAsia="Arial" w:hAnsi="Arial"/>
          <w:sz w:val="22"/>
          <w:szCs w:val="22"/>
        </w:rPr>
        <w:t xml:space="preserve">我们提出了MV-LocalDPO，一个将多视图自动驾驶视频生成与偏好信号对齐的几何感知框架。三项核心创新——三维时空一致多视图掩码、VGGT几何适配器与GAM、区域感知DPO损失——解决了现有方法的根本局限。在nuScenes上的实验证明在FID、FVD、mAP，尤其是多视图几何一致性指标上的一致改善。我们相信本工作为结构化多视图视频生成中的偏好优化建立了新范式，对自动驾驶仿真、数据集增强和世界模型开发具有重要意义。</w:t>
      </w:r>
    </w:p>
    <w:p>
      <w:pPr>
        <w:spacing w:before="60" w:after="100"/>
        <w:jc w:val="both"/>
      </w:pPr>
      <w:r>
        <w:rPr>
          <w:rFonts w:ascii="Arial" w:cs="Arial" w:eastAsia="Arial" w:hAnsi="Arial"/>
          <w:sz w:val="22"/>
          <w:szCs w:val="22"/>
        </w:rPr>
        <w:t xml:space="preserve">未来工作包括：(1) 扩展到动态场景图以实现结构化掩码生成；(2) 研究文本引导偏好优化以实现精细控制；(3) 将框架应用于实时生成场景。</w:t>
      </w:r>
    </w:p>
    <w:p>
      <w:pPr>
        <w:pBdr>
          <w:bottom w:val="single" w:color="CBD5E1" w:sz="4"/>
        </w:pBdr>
        <w:spacing w:before="100" w:after="100"/>
      </w:pPr>
      <w:r>
        <w:t xml:space="preserve"/>
      </w:r>
    </w:p>
    <w:p>
      <w:pPr>
        <w:pStyle w:val="Heading2"/>
        <w:spacing w:before="220" w:after="100"/>
      </w:pPr>
      <w:r>
        <w:rPr>
          <w:rFonts w:ascii="Arial" w:cs="Arial" w:eastAsia="Arial" w:hAnsi="Arial"/>
          <w:b/>
          <w:bCs/>
          <w:color w:val="1D4ED8"/>
          <w:sz w:val="26"/>
          <w:szCs w:val="26"/>
        </w:rPr>
        <w:t xml:space="preserve">参考文献</w:t>
      </w:r>
    </w:p>
    <w:p>
      <w:pPr>
        <w:spacing w:before="60" w:after="100"/>
        <w:jc w:val="both"/>
      </w:pPr>
      <w:r>
        <w:rPr>
          <w:rFonts w:ascii="Arial" w:cs="Arial" w:eastAsia="Arial" w:hAnsi="Arial"/>
          <w:b/>
          <w:bCs/>
          <w:color w:val="1E3A5F"/>
          <w:sz w:val="22"/>
          <w:szCs w:val="22"/>
        </w:rPr>
        <w:t xml:space="preserve">[1] Wallace等，2023. </w:t>
      </w:r>
      <w:r>
        <w:rPr>
          <w:rFonts w:ascii="Arial" w:cs="Arial" w:eastAsia="Arial" w:hAnsi="Arial"/>
          <w:sz w:val="22"/>
          <w:szCs w:val="22"/>
        </w:rPr>
        <w:t xml:space="preserve">Diffusion Model Alignment Using Direct Preference Optimization. CVPR 2024.</w:t>
      </w:r>
    </w:p>
    <w:p>
      <w:pPr>
        <w:spacing w:before="60" w:after="100"/>
        <w:jc w:val="both"/>
      </w:pPr>
      <w:r>
        <w:rPr>
          <w:rFonts w:ascii="Arial" w:cs="Arial" w:eastAsia="Arial" w:hAnsi="Arial"/>
          <w:b/>
          <w:bCs/>
          <w:color w:val="1E3A5F"/>
          <w:sz w:val="22"/>
          <w:szCs w:val="22"/>
        </w:rPr>
        <w:t xml:space="preserve">[2] MagicDriveV2团队，2024. </w:t>
      </w:r>
      <w:r>
        <w:rPr>
          <w:rFonts w:ascii="Arial" w:cs="Arial" w:eastAsia="Arial" w:hAnsi="Arial"/>
          <w:sz w:val="22"/>
          <w:szCs w:val="22"/>
        </w:rPr>
        <w:t xml:space="preserve">MagicDriveV2: Heterogeneous Autoregressive Image-Video Generation for Real-World Driving Data Synthesis. ECCV 2024.</w:t>
      </w:r>
    </w:p>
    <w:p>
      <w:pPr>
        <w:spacing w:before="60" w:after="100"/>
        <w:jc w:val="both"/>
      </w:pPr>
      <w:r>
        <w:rPr>
          <w:rFonts w:ascii="Arial" w:cs="Arial" w:eastAsia="Arial" w:hAnsi="Arial"/>
          <w:b/>
          <w:bCs/>
          <w:color w:val="1E3A5F"/>
          <w:sz w:val="22"/>
          <w:szCs w:val="22"/>
        </w:rPr>
        <w:t xml:space="preserve">[3] Lu等，2024. </w:t>
      </w:r>
      <w:r>
        <w:rPr>
          <w:rFonts w:ascii="Arial" w:cs="Arial" w:eastAsia="Arial" w:hAnsi="Arial"/>
          <w:sz w:val="22"/>
          <w:szCs w:val="22"/>
        </w:rPr>
        <w:t xml:space="preserve">WoVoGen: World Volume-Aware Diffusion for Controllable Multi-Camera Driving Scene Generation. ECCV 2024.</w:t>
      </w:r>
    </w:p>
    <w:p>
      <w:pPr>
        <w:spacing w:before="60" w:after="100"/>
        <w:jc w:val="both"/>
      </w:pPr>
      <w:r>
        <w:rPr>
          <w:rFonts w:ascii="Arial" w:cs="Arial" w:eastAsia="Arial" w:hAnsi="Arial"/>
          <w:b/>
          <w:bCs/>
          <w:color w:val="1E3A5F"/>
          <w:sz w:val="22"/>
          <w:szCs w:val="22"/>
        </w:rPr>
        <w:t xml:space="preserve">[4] Li等，2024. </w:t>
      </w:r>
      <w:r>
        <w:rPr>
          <w:rFonts w:ascii="Arial" w:cs="Arial" w:eastAsia="Arial" w:hAnsi="Arial"/>
          <w:sz w:val="22"/>
          <w:szCs w:val="22"/>
        </w:rPr>
        <w:t xml:space="preserve">DrivingDiffusion: Layout-Guided Multi-View Driving Scenario Video Generation with Latent Diffusion Model. ECCV 2024.</w:t>
      </w:r>
    </w:p>
    <w:p>
      <w:pPr>
        <w:spacing w:before="60" w:after="100"/>
        <w:jc w:val="both"/>
      </w:pPr>
      <w:r>
        <w:rPr>
          <w:rFonts w:ascii="Arial" w:cs="Arial" w:eastAsia="Arial" w:hAnsi="Arial"/>
          <w:b/>
          <w:bCs/>
          <w:color w:val="1E3A5F"/>
          <w:sz w:val="22"/>
          <w:szCs w:val="22"/>
        </w:rPr>
        <w:t xml:space="preserve">[5] VGGT团队，2024. </w:t>
      </w:r>
      <w:r>
        <w:rPr>
          <w:rFonts w:ascii="Arial" w:cs="Arial" w:eastAsia="Arial" w:hAnsi="Arial"/>
          <w:sz w:val="22"/>
          <w:szCs w:val="22"/>
        </w:rPr>
        <w:t xml:space="preserve">VGGT: Visual Geometry Grounded Deep Structure from Motion.</w:t>
      </w:r>
    </w:p>
    <w:p>
      <w:pPr>
        <w:spacing w:before="60" w:after="100"/>
        <w:jc w:val="both"/>
      </w:pPr>
      <w:r>
        <w:rPr>
          <w:rFonts w:ascii="Arial" w:cs="Arial" w:eastAsia="Arial" w:hAnsi="Arial"/>
          <w:b/>
          <w:bCs/>
          <w:color w:val="1E3A5F"/>
          <w:sz w:val="22"/>
          <w:szCs w:val="22"/>
        </w:rPr>
        <w:t xml:space="preserve">[6] Rafailov等，2023. </w:t>
      </w:r>
      <w:r>
        <w:rPr>
          <w:rFonts w:ascii="Arial" w:cs="Arial" w:eastAsia="Arial" w:hAnsi="Arial"/>
          <w:sz w:val="22"/>
          <w:szCs w:val="22"/>
        </w:rPr>
        <w:t xml:space="preserve">Direct Preference Optimization: Your Language Model is Secretly a Reward Model. NeurIPS 2023.</w:t>
      </w:r>
    </w:p>
    <w:p>
      <w:pPr>
        <w:spacing w:before="60" w:after="100"/>
        <w:jc w:val="both"/>
      </w:pPr>
      <w:r>
        <w:rPr>
          <w:rFonts w:ascii="Arial" w:cs="Arial" w:eastAsia="Arial" w:hAnsi="Arial"/>
          <w:b/>
          <w:bCs/>
          <w:color w:val="1E3A5F"/>
          <w:sz w:val="22"/>
          <w:szCs w:val="22"/>
        </w:rPr>
        <w:t xml:space="preserve">[7] Yuan等，2024. </w:t>
      </w:r>
      <w:r>
        <w:rPr>
          <w:rFonts w:ascii="Arial" w:cs="Arial" w:eastAsia="Arial" w:hAnsi="Arial"/>
          <w:sz w:val="22"/>
          <w:szCs w:val="22"/>
        </w:rPr>
        <w:t xml:space="preserve">LocalDPO: Localized Direct Preference Optimization for Diffusion Models.</w:t>
      </w:r>
    </w:p>
    <w:p>
      <w:pPr>
        <w:spacing w:before="60" w:after="100"/>
        <w:jc w:val="both"/>
      </w:pPr>
      <w:r>
        <w:rPr>
          <w:rFonts w:ascii="Arial" w:cs="Arial" w:eastAsia="Arial" w:hAnsi="Arial"/>
          <w:b/>
          <w:bCs/>
          <w:color w:val="1E3A5F"/>
          <w:sz w:val="22"/>
          <w:szCs w:val="22"/>
        </w:rPr>
        <w:t xml:space="preserve">[8] Peng等，2024. </w:t>
      </w:r>
      <w:r>
        <w:rPr>
          <w:rFonts w:ascii="Arial" w:cs="Arial" w:eastAsia="Arial" w:hAnsi="Arial"/>
          <w:sz w:val="22"/>
          <w:szCs w:val="22"/>
        </w:rPr>
        <w:t xml:space="preserve">MagicDrive3D: Controllable 3D Generation for Any-View Rendering in Street Scenes.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E3A5F"/>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1D4ED8"/>
      <w:sz w:val="26"/>
      <w:szCs w:val="26"/>
    </w:rPr>
  </w:style>
  <w:style w:type="paragraph" w:styleId="Heading3">
    <w:name w:val="Heading 3"/>
    <w:basedOn w:val="Normal"/>
    <w:next w:val="Normal"/>
    <w:qFormat/>
    <w:pPr>
      <w:spacing w:before="16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2026-03-02T06:46:02.324Z</dcterms:created>
  <dcterms:modified xsi:type="dcterms:W3CDTF">2026-03-02T06:46:02.324Z</dcterms:modified>
</cp:coreProperties>
</file>

<file path=docProps/custom.xml><?xml version="1.0" encoding="utf-8"?>
<Properties xmlns="http://schemas.openxmlformats.org/officeDocument/2006/custom-properties" xmlns:vt="http://schemas.openxmlformats.org/officeDocument/2006/docPropsVTypes"/>
</file>