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A3C5E"/>
          <w:sz w:val="40"/>
        </w:rPr>
        <w:t>GRANJA FOTOVOLTAICA URABÁ – 743,6 kWp</w:t>
      </w:r>
    </w:p>
    <w:p>
      <w:pPr>
        <w:jc w:val="center"/>
      </w:pPr>
      <w:r>
        <w:rPr>
          <w:b/>
          <w:color w:val="2E7D32"/>
          <w:sz w:val="30"/>
        </w:rPr>
        <w:t>Análisis de Flujo de Caja Acumulado</w:t>
      </w:r>
      <w:r>
        <w:rPr>
          <w:b w:val="0"/>
          <w:i w:val="0"/>
          <w:sz w:val="24"/>
        </w:rPr>
        <w:t xml:space="preserve">  ·  Verificación de Coherencia  ·  Informe para Inversionistas</w:t>
      </w:r>
    </w:p>
    <w:p>
      <w:pPr>
        <w:jc w:val="center"/>
      </w:pPr>
      <w:r>
        <w:rPr>
          <w:b w:val="0"/>
          <w:i/>
          <w:sz w:val="18"/>
        </w:rPr>
        <w:t>Fecha: 1 de agosto de 2026   |   Panel: JA Solar 715 Wp N-type   |   Tarifa: 650 COP/kWh</w:t>
      </w:r>
    </w:p>
    <w:p>
      <w:pPr>
        <w:spacing w:before="40" w:after="40"/>
      </w:pPr>
      <w:r>
        <w:rPr>
          <w:color w:val="2E7D32"/>
          <w:sz w:val="14"/>
        </w:rPr>
        <w:t>────────────────────────────────────────────────────────────────────────────────────────</w:t>
      </w:r>
    </w:p>
    <w:p>
      <w:pPr>
        <w:spacing w:before="200" w:after="80"/>
      </w:pPr>
      <w:r>
        <w:rPr>
          <w:b/>
          <w:color w:val="1A3C5E"/>
          <w:sz w:val="32"/>
        </w:rPr>
        <w:t>1. Verificación de Coherencia del Modelo Financiero</w:t>
      </w:r>
    </w:p>
    <w:p>
      <w:r>
        <w:rPr>
          <w:b w:val="0"/>
          <w:i w:val="0"/>
          <w:sz w:val="20"/>
        </w:rPr>
        <w:t>Se verificaron aritméticamente cada una de las cifras presentadas en pantalla. El siguiente cuadro resume los resultados:</w:t>
      </w:r>
    </w:p>
    <w:p/>
    <w:tbl>
      <w:tblPr>
        <w:tblStyle w:val="TableGrid"/>
        <w:tblW w:type="auto" w:w="0"/>
        <w:jc w:val="center"/>
        <w:tblLook w:firstColumn="1" w:firstRow="1" w:lastColumn="0" w:lastRow="0" w:noHBand="0" w:noVBand="1" w:val="04A0"/>
      </w:tblPr>
      <w:tblGrid>
        <w:gridCol w:w="3685"/>
        <w:gridCol w:w="3288"/>
        <w:gridCol w:w="1984"/>
        <w:gridCol w:w="1247"/>
      </w:tblGrid>
      <w:tr>
        <w:tc>
          <w:tcPr>
            <w:tcW w:type="dxa" w:w="2351"/>
            <w:shd w:val="clear" w:color="auto" w:fill="1a3c5e"/>
          </w:tcPr>
          <w:p>
            <w:r>
              <w:rPr>
                <w:b/>
                <w:color w:val="FFFFFF"/>
                <w:sz w:val="18"/>
              </w:rPr>
              <w:t>Verificación</w:t>
            </w:r>
          </w:p>
        </w:tc>
        <w:tc>
          <w:tcPr>
            <w:tcW w:type="dxa" w:w="2351"/>
            <w:shd w:val="clear" w:color="auto" w:fill="1a3c5e"/>
          </w:tcPr>
          <w:p>
            <w:r>
              <w:rPr>
                <w:b/>
                <w:color w:val="FFFFFF"/>
                <w:sz w:val="18"/>
              </w:rPr>
              <w:t>Cálculo</w:t>
            </w:r>
          </w:p>
        </w:tc>
        <w:tc>
          <w:tcPr>
            <w:tcW w:type="dxa" w:w="2351"/>
            <w:shd w:val="clear" w:color="auto" w:fill="1a3c5e"/>
          </w:tcPr>
          <w:p>
            <w:r>
              <w:rPr>
                <w:b/>
                <w:color w:val="FFFFFF"/>
                <w:sz w:val="18"/>
              </w:rPr>
              <w:t>Resultado</w:t>
            </w:r>
          </w:p>
        </w:tc>
        <w:tc>
          <w:tcPr>
            <w:tcW w:type="dxa" w:w="2351"/>
            <w:shd w:val="clear" w:color="auto" w:fill="1a3c5e"/>
          </w:tcPr>
          <w:p>
            <w:r>
              <w:rPr>
                <w:b/>
                <w:color w:val="FFFFFF"/>
                <w:sz w:val="18"/>
              </w:rPr>
              <w:t>Estado</w:t>
            </w:r>
          </w:p>
        </w:tc>
      </w:tr>
      <w:tr>
        <w:tc>
          <w:tcPr>
            <w:tcW w:type="dxa" w:w="2351"/>
          </w:tcPr>
          <w:p>
            <w:r>
              <w:rPr>
                <w:sz w:val="16"/>
              </w:rPr>
              <w:t>CAPEX neto = Bruto − Ley 1715</w:t>
            </w:r>
          </w:p>
        </w:tc>
        <w:tc>
          <w:tcPr>
            <w:tcW w:type="dxa" w:w="2351"/>
          </w:tcPr>
          <w:p>
            <w:r>
              <w:rPr>
                <w:sz w:val="16"/>
              </w:rPr>
              <w:t>43.171 − 11.119 = 32.052 USD</w:t>
            </w:r>
          </w:p>
        </w:tc>
        <w:tc>
          <w:tcPr>
            <w:tcW w:type="dxa" w:w="2351"/>
          </w:tcPr>
          <w:p>
            <w:r>
              <w:rPr>
                <w:sz w:val="16"/>
              </w:rPr>
              <w:t>32.052 USD  ✓</w:t>
            </w:r>
          </w:p>
        </w:tc>
        <w:tc>
          <w:tcPr>
            <w:tcW w:type="dxa" w:w="2351"/>
            <w:shd w:val="clear" w:color="auto" w:fill="c8e6c9"/>
          </w:tcPr>
          <w:p>
            <w:r>
              <w:rPr>
                <w:color w:val="1B5E20"/>
                <w:sz w:val="16"/>
              </w:rPr>
              <w:t>✓ OK</w:t>
            </w:r>
          </w:p>
        </w:tc>
      </w:tr>
      <w:tr>
        <w:tc>
          <w:tcPr>
            <w:tcW w:type="dxa" w:w="2351"/>
          </w:tcPr>
          <w:p>
            <w:r>
              <w:rPr>
                <w:sz w:val="16"/>
              </w:rPr>
              <w:t>Art. 11 Deducción renta = 50% × 43.171 × 35%</w:t>
            </w:r>
          </w:p>
        </w:tc>
        <w:tc>
          <w:tcPr>
            <w:tcW w:type="dxa" w:w="2351"/>
          </w:tcPr>
          <w:p>
            <w:r>
              <w:rPr>
                <w:sz w:val="16"/>
              </w:rPr>
              <w:t>0,50 × 43.171 × 0,35 = 7.555</w:t>
            </w:r>
          </w:p>
        </w:tc>
        <w:tc>
          <w:tcPr>
            <w:tcW w:type="dxa" w:w="2351"/>
          </w:tcPr>
          <w:p>
            <w:r>
              <w:rPr>
                <w:sz w:val="16"/>
              </w:rPr>
              <w:t>7.555 USD  ✓</w:t>
            </w:r>
          </w:p>
        </w:tc>
        <w:tc>
          <w:tcPr>
            <w:tcW w:type="dxa" w:w="2351"/>
            <w:shd w:val="clear" w:color="auto" w:fill="c8e6c9"/>
          </w:tcPr>
          <w:p>
            <w:r>
              <w:rPr>
                <w:color w:val="1B5E20"/>
                <w:sz w:val="16"/>
              </w:rPr>
              <w:t>✓ OK</w:t>
            </w:r>
          </w:p>
        </w:tc>
      </w:tr>
      <w:tr>
        <w:tc>
          <w:tcPr>
            <w:tcW w:type="dxa" w:w="2351"/>
          </w:tcPr>
          <w:p>
            <w:r>
              <w:rPr>
                <w:sz w:val="16"/>
              </w:rPr>
              <w:t>Art. 12 IVA = 19% × CAPEX equipos (7.332)</w:t>
            </w:r>
          </w:p>
        </w:tc>
        <w:tc>
          <w:tcPr>
            <w:tcW w:type="dxa" w:w="2351"/>
          </w:tcPr>
          <w:p>
            <w:r>
              <w:rPr>
                <w:sz w:val="16"/>
              </w:rPr>
              <w:t>0,19 × 7.332 = 1.393</w:t>
            </w:r>
          </w:p>
        </w:tc>
        <w:tc>
          <w:tcPr>
            <w:tcW w:type="dxa" w:w="2351"/>
          </w:tcPr>
          <w:p>
            <w:r>
              <w:rPr>
                <w:sz w:val="16"/>
              </w:rPr>
              <w:t>1.393 USD  ✓</w:t>
            </w:r>
          </w:p>
        </w:tc>
        <w:tc>
          <w:tcPr>
            <w:tcW w:type="dxa" w:w="2351"/>
            <w:shd w:val="clear" w:color="auto" w:fill="c8e6c9"/>
          </w:tcPr>
          <w:p>
            <w:r>
              <w:rPr>
                <w:color w:val="1B5E20"/>
                <w:sz w:val="16"/>
              </w:rPr>
              <w:t>✓ OK</w:t>
            </w:r>
          </w:p>
        </w:tc>
      </w:tr>
      <w:tr>
        <w:tc>
          <w:tcPr>
            <w:tcW w:type="dxa" w:w="2351"/>
          </w:tcPr>
          <w:p>
            <w:r>
              <w:rPr>
                <w:sz w:val="16"/>
              </w:rPr>
              <w:t>Ley total = 7.555 + 1.393 + 2.171</w:t>
            </w:r>
          </w:p>
        </w:tc>
        <w:tc>
          <w:tcPr>
            <w:tcW w:type="dxa" w:w="2351"/>
          </w:tcPr>
          <w:p>
            <w:r>
              <w:rPr>
                <w:sz w:val="16"/>
              </w:rPr>
              <w:t>Suma artículos</w:t>
            </w:r>
          </w:p>
        </w:tc>
        <w:tc>
          <w:tcPr>
            <w:tcW w:type="dxa" w:w="2351"/>
          </w:tcPr>
          <w:p>
            <w:r>
              <w:rPr>
                <w:sz w:val="16"/>
              </w:rPr>
              <w:t>11.119 USD  ✓</w:t>
            </w:r>
          </w:p>
        </w:tc>
        <w:tc>
          <w:tcPr>
            <w:tcW w:type="dxa" w:w="2351"/>
            <w:shd w:val="clear" w:color="auto" w:fill="c8e6c9"/>
          </w:tcPr>
          <w:p>
            <w:r>
              <w:rPr>
                <w:color w:val="1B5E20"/>
                <w:sz w:val="16"/>
              </w:rPr>
              <w:t>✓ OK</w:t>
            </w:r>
          </w:p>
        </w:tc>
      </w:tr>
      <w:tr>
        <w:tc>
          <w:tcPr>
            <w:tcW w:type="dxa" w:w="2351"/>
          </w:tcPr>
          <w:p>
            <w:r>
              <w:rPr>
                <w:sz w:val="16"/>
              </w:rPr>
              <w:t>Flujo Año 1 = Ingreso − O&amp;M = 178.785 − 7.436</w:t>
            </w:r>
          </w:p>
        </w:tc>
        <w:tc>
          <w:tcPr>
            <w:tcW w:type="dxa" w:w="2351"/>
          </w:tcPr>
          <w:p>
            <w:r>
              <w:rPr>
                <w:sz w:val="16"/>
              </w:rPr>
              <w:t>Aritmética directa</w:t>
            </w:r>
          </w:p>
        </w:tc>
        <w:tc>
          <w:tcPr>
            <w:tcW w:type="dxa" w:w="2351"/>
          </w:tcPr>
          <w:p>
            <w:r>
              <w:rPr>
                <w:sz w:val="16"/>
              </w:rPr>
              <w:t>171.349 USD  ✓</w:t>
            </w:r>
          </w:p>
        </w:tc>
        <w:tc>
          <w:tcPr>
            <w:tcW w:type="dxa" w:w="2351"/>
            <w:shd w:val="clear" w:color="auto" w:fill="c8e6c9"/>
          </w:tcPr>
          <w:p>
            <w:r>
              <w:rPr>
                <w:color w:val="1B5E20"/>
                <w:sz w:val="16"/>
              </w:rPr>
              <w:t>✓ OK</w:t>
            </w:r>
          </w:p>
        </w:tc>
      </w:tr>
      <w:tr>
        <w:tc>
          <w:tcPr>
            <w:tcW w:type="dxa" w:w="2351"/>
          </w:tcPr>
          <w:p>
            <w:r>
              <w:rPr>
                <w:sz w:val="16"/>
              </w:rPr>
              <w:t>Flujo acum. Año 0</w:t>
            </w:r>
          </w:p>
        </w:tc>
        <w:tc>
          <w:tcPr>
            <w:tcW w:type="dxa" w:w="2351"/>
          </w:tcPr>
          <w:p>
            <w:r>
              <w:rPr>
                <w:sz w:val="16"/>
              </w:rPr>
              <w:t>− CAPEX neto = −32.052</w:t>
            </w:r>
          </w:p>
        </w:tc>
        <w:tc>
          <w:tcPr>
            <w:tcW w:type="dxa" w:w="2351"/>
          </w:tcPr>
          <w:p>
            <w:r>
              <w:rPr>
                <w:sz w:val="16"/>
              </w:rPr>
              <w:t>−32.052 USD  ✓</w:t>
            </w:r>
          </w:p>
        </w:tc>
        <w:tc>
          <w:tcPr>
            <w:tcW w:type="dxa" w:w="2351"/>
            <w:shd w:val="clear" w:color="auto" w:fill="c8e6c9"/>
          </w:tcPr>
          <w:p>
            <w:r>
              <w:rPr>
                <w:color w:val="1B5E20"/>
                <w:sz w:val="16"/>
              </w:rPr>
              <w:t>✓ OK</w:t>
            </w:r>
          </w:p>
        </w:tc>
      </w:tr>
      <w:tr>
        <w:tc>
          <w:tcPr>
            <w:tcW w:type="dxa" w:w="2351"/>
          </w:tcPr>
          <w:p>
            <w:r>
              <w:rPr>
                <w:sz w:val="16"/>
              </w:rPr>
              <w:t>Flujo acum. Año 1 = −32.052 + 171.349</w:t>
            </w:r>
          </w:p>
        </w:tc>
        <w:tc>
          <w:tcPr>
            <w:tcW w:type="dxa" w:w="2351"/>
          </w:tcPr>
          <w:p>
            <w:r>
              <w:rPr>
                <w:sz w:val="16"/>
              </w:rPr>
              <w:t>139.297 (diferencia ±1 por redondeo)</w:t>
            </w:r>
          </w:p>
        </w:tc>
        <w:tc>
          <w:tcPr>
            <w:tcW w:type="dxa" w:w="2351"/>
          </w:tcPr>
          <w:p>
            <w:r>
              <w:rPr>
                <w:sz w:val="16"/>
              </w:rPr>
              <w:t>139.296 USD  ✓</w:t>
            </w:r>
          </w:p>
        </w:tc>
        <w:tc>
          <w:tcPr>
            <w:tcW w:type="dxa" w:w="2351"/>
            <w:shd w:val="clear" w:color="auto" w:fill="c8e6c9"/>
          </w:tcPr>
          <w:p>
            <w:r>
              <w:rPr>
                <w:color w:val="1B5E20"/>
                <w:sz w:val="16"/>
              </w:rPr>
              <w:t>✓ OK</w:t>
            </w:r>
          </w:p>
        </w:tc>
      </w:tr>
      <w:tr>
        <w:tc>
          <w:tcPr>
            <w:tcW w:type="dxa" w:w="2351"/>
          </w:tcPr>
          <w:p>
            <w:r>
              <w:rPr>
                <w:sz w:val="16"/>
              </w:rPr>
              <w:t>Flujo acum. Año 2–9 (todos los años)</w:t>
            </w:r>
          </w:p>
        </w:tc>
        <w:tc>
          <w:tcPr>
            <w:tcW w:type="dxa" w:w="2351"/>
          </w:tcPr>
          <w:p>
            <w:r>
              <w:rPr>
                <w:sz w:val="16"/>
              </w:rPr>
              <w:t>Suma acumulativa verificada período a período</w:t>
            </w:r>
          </w:p>
        </w:tc>
        <w:tc>
          <w:tcPr>
            <w:tcW w:type="dxa" w:w="2351"/>
          </w:tcPr>
          <w:p>
            <w:r>
              <w:rPr>
                <w:sz w:val="16"/>
              </w:rPr>
              <w:t>Todos ✓</w:t>
            </w:r>
          </w:p>
        </w:tc>
        <w:tc>
          <w:tcPr>
            <w:tcW w:type="dxa" w:w="2351"/>
            <w:shd w:val="clear" w:color="auto" w:fill="c8e6c9"/>
          </w:tcPr>
          <w:p>
            <w:r>
              <w:rPr>
                <w:color w:val="1B5E20"/>
                <w:sz w:val="16"/>
              </w:rPr>
              <w:t>✓ OK</w:t>
            </w:r>
          </w:p>
        </w:tc>
      </w:tr>
      <w:tr>
        <w:tc>
          <w:tcPr>
            <w:tcW w:type="dxa" w:w="2351"/>
          </w:tcPr>
          <w:p>
            <w:r>
              <w:rPr>
                <w:sz w:val="16"/>
              </w:rPr>
              <w:t>Conversión COP (TRM 4.000): Año 0 = −32.052 × 4.000</w:t>
            </w:r>
          </w:p>
        </w:tc>
        <w:tc>
          <w:tcPr>
            <w:tcW w:type="dxa" w:w="2351"/>
          </w:tcPr>
          <w:p>
            <w:r>
              <w:rPr>
                <w:sz w:val="16"/>
              </w:rPr>
              <w:t>−128.208.000 COP = −128,209 M COP</w:t>
            </w:r>
          </w:p>
        </w:tc>
        <w:tc>
          <w:tcPr>
            <w:tcW w:type="dxa" w:w="2351"/>
          </w:tcPr>
          <w:p>
            <w:r>
              <w:rPr>
                <w:sz w:val="16"/>
              </w:rPr>
              <w:t>−128,209 M  ✓</w:t>
            </w:r>
          </w:p>
        </w:tc>
        <w:tc>
          <w:tcPr>
            <w:tcW w:type="dxa" w:w="2351"/>
            <w:shd w:val="clear" w:color="auto" w:fill="c8e6c9"/>
          </w:tcPr>
          <w:p>
            <w:r>
              <w:rPr>
                <w:color w:val="1B5E20"/>
                <w:sz w:val="16"/>
              </w:rPr>
              <w:t>✓ OK</w:t>
            </w:r>
          </w:p>
        </w:tc>
      </w:tr>
      <w:tr>
        <w:tc>
          <w:tcPr>
            <w:tcW w:type="dxa" w:w="2351"/>
          </w:tcPr>
          <w:p>
            <w:r>
              <w:rPr>
                <w:sz w:val="16"/>
              </w:rPr>
              <w:t>Ingreso Año 1 COP = 178.785 × 4.000</w:t>
            </w:r>
          </w:p>
        </w:tc>
        <w:tc>
          <w:tcPr>
            <w:tcW w:type="dxa" w:w="2351"/>
          </w:tcPr>
          <w:p>
            <w:r>
              <w:rPr>
                <w:sz w:val="16"/>
              </w:rPr>
              <w:t>= 715.140.000 COP = 715,14 M COP</w:t>
            </w:r>
          </w:p>
        </w:tc>
        <w:tc>
          <w:tcPr>
            <w:tcW w:type="dxa" w:w="2351"/>
          </w:tcPr>
          <w:p>
            <w:r>
              <w:rPr>
                <w:sz w:val="16"/>
              </w:rPr>
              <w:t>715,14 M  ✓</w:t>
            </w:r>
          </w:p>
        </w:tc>
        <w:tc>
          <w:tcPr>
            <w:tcW w:type="dxa" w:w="2351"/>
            <w:shd w:val="clear" w:color="auto" w:fill="c8e6c9"/>
          </w:tcPr>
          <w:p>
            <w:r>
              <w:rPr>
                <w:color w:val="1B5E20"/>
                <w:sz w:val="16"/>
              </w:rPr>
              <w:t>✓ OK</w:t>
            </w:r>
          </w:p>
        </w:tc>
      </w:tr>
      <w:tr>
        <w:tc>
          <w:tcPr>
            <w:tcW w:type="dxa" w:w="2351"/>
          </w:tcPr>
          <w:p>
            <w:r>
              <w:rPr>
                <w:sz w:val="16"/>
              </w:rPr>
              <w:t>Payback = CAPEX neto / Flujo Año 1 = 32.052 / 171.349</w:t>
            </w:r>
          </w:p>
        </w:tc>
        <w:tc>
          <w:tcPr>
            <w:tcW w:type="dxa" w:w="2351"/>
          </w:tcPr>
          <w:p>
            <w:r>
              <w:rPr>
                <w:sz w:val="16"/>
              </w:rPr>
              <w:t>= 0,187 años ≈ 68 días</w:t>
            </w:r>
          </w:p>
        </w:tc>
        <w:tc>
          <w:tcPr>
            <w:tcW w:type="dxa" w:w="2351"/>
          </w:tcPr>
          <w:p>
            <w:r>
              <w:rPr>
                <w:sz w:val="16"/>
              </w:rPr>
              <w:t>0,2 años  ✓</w:t>
            </w:r>
          </w:p>
        </w:tc>
        <w:tc>
          <w:tcPr>
            <w:tcW w:type="dxa" w:w="2351"/>
            <w:shd w:val="clear" w:color="auto" w:fill="c8e6c9"/>
          </w:tcPr>
          <w:p>
            <w:r>
              <w:rPr>
                <w:color w:val="1B5E20"/>
                <w:sz w:val="16"/>
              </w:rPr>
              <w:t>✓ OK</w:t>
            </w:r>
          </w:p>
        </w:tc>
      </w:tr>
      <w:tr>
        <w:tc>
          <w:tcPr>
            <w:tcW w:type="dxa" w:w="2351"/>
          </w:tcPr>
          <w:p>
            <w:r>
              <w:rPr>
                <w:sz w:val="16"/>
              </w:rPr>
              <w:t>LCOE P50 = CAPEX / (Prod × VPN factor)</w:t>
            </w:r>
          </w:p>
        </w:tc>
        <w:tc>
          <w:tcPr>
            <w:tcW w:type="dxa" w:w="2351"/>
          </w:tcPr>
          <w:p>
            <w:r>
              <w:rPr>
                <w:sz w:val="16"/>
              </w:rPr>
              <w:t>USD 0,0122/kWh = 49 COP/kWh</w:t>
            </w:r>
          </w:p>
        </w:tc>
        <w:tc>
          <w:tcPr>
            <w:tcW w:type="dxa" w:w="2351"/>
          </w:tcPr>
          <w:p>
            <w:r>
              <w:rPr>
                <w:sz w:val="16"/>
              </w:rPr>
              <w:t>49 COP/kWh  ✓</w:t>
            </w:r>
          </w:p>
        </w:tc>
        <w:tc>
          <w:tcPr>
            <w:tcW w:type="dxa" w:w="2351"/>
            <w:shd w:val="clear" w:color="auto" w:fill="c8e6c9"/>
          </w:tcPr>
          <w:p>
            <w:r>
              <w:rPr>
                <w:color w:val="1B5E20"/>
                <w:sz w:val="16"/>
              </w:rPr>
              <w:t>✓ OK</w:t>
            </w:r>
          </w:p>
        </w:tc>
      </w:tr>
      <w:tr>
        <w:tc>
          <w:tcPr>
            <w:tcW w:type="dxa" w:w="2351"/>
          </w:tcPr>
          <w:p>
            <w:r>
              <w:rPr>
                <w:sz w:val="16"/>
              </w:rPr>
              <w:t>TIR = '—' (no converge numericamente)</w:t>
            </w:r>
          </w:p>
        </w:tc>
        <w:tc>
          <w:tcPr>
            <w:tcW w:type="dxa" w:w="2351"/>
          </w:tcPr>
          <w:p>
            <w:r>
              <w:rPr>
                <w:sz w:val="16"/>
              </w:rPr>
              <w:t>Payback ~68 días → TIR &gt;&gt;&gt; 1000 %/año; solver no converge</w:t>
            </w:r>
          </w:p>
        </w:tc>
        <w:tc>
          <w:tcPr>
            <w:tcW w:type="dxa" w:w="2351"/>
          </w:tcPr>
          <w:p>
            <w:r>
              <w:rPr>
                <w:sz w:val="16"/>
              </w:rPr>
              <w:t>ESPERADO  ⚠</w:t>
            </w:r>
          </w:p>
        </w:tc>
        <w:tc>
          <w:tcPr>
            <w:tcW w:type="dxa" w:w="2351"/>
            <w:shd w:val="clear" w:color="auto" w:fill="fff3e0"/>
          </w:tcPr>
          <w:p>
            <w:r>
              <w:rPr>
                <w:color w:val="E65100"/>
                <w:sz w:val="16"/>
              </w:rPr>
              <w:t>⚠ Alerta</w:t>
            </w:r>
          </w:p>
        </w:tc>
      </w:tr>
      <w:tr>
        <w:tc>
          <w:tcPr>
            <w:tcW w:type="dxa" w:w="2351"/>
          </w:tcPr>
          <w:p>
            <w:r>
              <w:rPr>
                <w:sz w:val="16"/>
              </w:rPr>
              <w:t>CAPEX bruto USD 43.171 vs sistema 743,6 kWp</w:t>
            </w:r>
          </w:p>
        </w:tc>
        <w:tc>
          <w:tcPr>
            <w:tcW w:type="dxa" w:w="2351"/>
          </w:tcPr>
          <w:p>
            <w:r>
              <w:rPr>
                <w:sz w:val="16"/>
              </w:rPr>
              <w:t>USD 43.171 / 743.600 Wp = 58 USD/kWp. Costo mín. real: ~400 USD/kWp</w:t>
            </w:r>
          </w:p>
        </w:tc>
        <w:tc>
          <w:tcPr>
            <w:tcW w:type="dxa" w:w="2351"/>
          </w:tcPr>
          <w:p>
            <w:r>
              <w:rPr>
                <w:sz w:val="16"/>
              </w:rPr>
              <w:t>⚠ REVISAR Presupuesto</w:t>
            </w:r>
          </w:p>
        </w:tc>
        <w:tc>
          <w:tcPr>
            <w:tcW w:type="dxa" w:w="2351"/>
            <w:shd w:val="clear" w:color="auto" w:fill="fff3e0"/>
          </w:tcPr>
          <w:p>
            <w:r>
              <w:rPr>
                <w:color w:val="E65100"/>
                <w:sz w:val="16"/>
              </w:rPr>
              <w:t>⚠ Alerta</w:t>
            </w:r>
          </w:p>
        </w:tc>
      </w:tr>
    </w:tbl>
    <w:p/>
    <w:p>
      <w:r>
        <w:rPr>
          <w:b/>
          <w:i w:val="0"/>
          <w:sz w:val="20"/>
        </w:rPr>
        <w:t xml:space="preserve">⚠ Nota crítica sobre el CAPEX: </w:t>
      </w:r>
      <w:r>
        <w:rPr>
          <w:b w:val="0"/>
          <w:i/>
          <w:sz w:val="20"/>
        </w:rPr>
        <w:t>El modelo muestra CAPEX bruto de USD 43.171 (USD 58/kWp) para un sistema de 743,6 kWp. El costo mínimo razonable de mercado para una granja FV en Colombia (2026) es USD 350-500/kWp, lo que daría un CAPEX bruto de USD 260.000–370.000. Se recomienda verificar que la página Presupuesto contenga TODOS los ítems de costo (módulos, inversores, obra civil, cableado, transporte, instalación, ingeniería). Todos los demás indicadores del modelo son internamente coherentes y matemáticamente correctos.</w:t>
      </w:r>
    </w:p>
    <w:p>
      <w:pPr>
        <w:spacing w:before="40" w:after="40"/>
      </w:pPr>
      <w:r>
        <w:rPr>
          <w:color w:val="2E7D32"/>
          <w:sz w:val="14"/>
        </w:rPr>
        <w:t>────────────────────────────────────────────────────────────────────────────────────────</w:t>
      </w:r>
    </w:p>
    <w:p>
      <w:pPr>
        <w:spacing w:before="200" w:after="80"/>
      </w:pPr>
      <w:r>
        <w:rPr>
          <w:b/>
          <w:color w:val="1A3C5E"/>
          <w:sz w:val="32"/>
        </w:rPr>
        <w:t>2. Tabla de Flujo de Caja Anual (tal como aparece en pantalla)</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567"/>
            <w:shd w:val="clear" w:color="auto" w:fill="1a3c5e"/>
          </w:tcPr>
          <w:p>
            <w:r>
              <w:rPr>
                <w:b/>
                <w:color w:val="FFFFFF"/>
                <w:sz w:val="16"/>
              </w:rPr>
              <w:t>Año</w:t>
            </w:r>
          </w:p>
        </w:tc>
        <w:tc>
          <w:tcPr>
            <w:tcW w:type="dxa" w:w="1247"/>
            <w:shd w:val="clear" w:color="auto" w:fill="1a3c5e"/>
          </w:tcPr>
          <w:p>
            <w:r>
              <w:rPr>
                <w:b/>
                <w:color w:val="FFFFFF"/>
                <w:sz w:val="16"/>
              </w:rPr>
              <w:t>Producción</w:t>
              <w:br/>
              <w:t>(kWh)</w:t>
            </w:r>
          </w:p>
        </w:tc>
        <w:tc>
          <w:tcPr>
            <w:tcW w:type="dxa" w:w="1361"/>
            <w:shd w:val="clear" w:color="auto" w:fill="1a3c5e"/>
          </w:tcPr>
          <w:p>
            <w:r>
              <w:rPr>
                <w:b/>
                <w:color w:val="FFFFFF"/>
                <w:sz w:val="16"/>
              </w:rPr>
              <w:t>Ingreso energía</w:t>
              <w:br/>
              <w:t>(USD)</w:t>
            </w:r>
          </w:p>
        </w:tc>
        <w:tc>
          <w:tcPr>
            <w:tcW w:type="dxa" w:w="964"/>
            <w:shd w:val="clear" w:color="auto" w:fill="1a3c5e"/>
          </w:tcPr>
          <w:p>
            <w:r>
              <w:rPr>
                <w:b/>
                <w:color w:val="FFFFFF"/>
                <w:sz w:val="16"/>
              </w:rPr>
              <w:t>O&amp;M</w:t>
              <w:br/>
              <w:t>(USD)</w:t>
            </w:r>
          </w:p>
        </w:tc>
        <w:tc>
          <w:tcPr>
            <w:tcW w:type="dxa" w:w="1134"/>
            <w:shd w:val="clear" w:color="auto" w:fill="1a3c5e"/>
          </w:tcPr>
          <w:p>
            <w:r>
              <w:rPr>
                <w:b/>
                <w:color w:val="FFFFFF"/>
                <w:sz w:val="16"/>
              </w:rPr>
              <w:t>Flujo</w:t>
              <w:br/>
              <w:t>(USD)</w:t>
            </w:r>
          </w:p>
        </w:tc>
        <w:tc>
          <w:tcPr>
            <w:tcW w:type="dxa" w:w="1361"/>
            <w:shd w:val="clear" w:color="auto" w:fill="1a3c5e"/>
          </w:tcPr>
          <w:p>
            <w:r>
              <w:rPr>
                <w:b/>
                <w:color w:val="FFFFFF"/>
                <w:sz w:val="16"/>
              </w:rPr>
              <w:t>Flujo acum.</w:t>
              <w:br/>
              <w:t>(USD)</w:t>
            </w:r>
          </w:p>
        </w:tc>
        <w:tc>
          <w:tcPr>
            <w:tcW w:type="dxa" w:w="1134"/>
            <w:shd w:val="clear" w:color="auto" w:fill="1a3c5e"/>
          </w:tcPr>
          <w:p>
            <w:r>
              <w:rPr>
                <w:b/>
                <w:color w:val="FFFFFF"/>
                <w:sz w:val="16"/>
              </w:rPr>
              <w:t>Ingreso</w:t>
              <w:br/>
              <w:t>(M COP)</w:t>
            </w:r>
          </w:p>
        </w:tc>
        <w:tc>
          <w:tcPr>
            <w:tcW w:type="dxa" w:w="1304"/>
            <w:shd w:val="clear" w:color="auto" w:fill="1a3c5e"/>
          </w:tcPr>
          <w:p>
            <w:r>
              <w:rPr>
                <w:b/>
                <w:color w:val="FFFFFF"/>
                <w:sz w:val="16"/>
              </w:rPr>
              <w:t>Flujo acum.</w:t>
              <w:br/>
              <w:t>(M COP)</w:t>
            </w:r>
          </w:p>
        </w:tc>
      </w:tr>
      <w:tr>
        <w:tc>
          <w:tcPr>
            <w:tcW w:type="dxa" w:w="567"/>
          </w:tcPr>
          <w:p>
            <w:pPr>
              <w:jc w:val="right"/>
            </w:pPr>
            <w:r>
              <w:rPr>
                <w:sz w:val="16"/>
              </w:rPr>
              <w:t>0</w:t>
            </w:r>
          </w:p>
        </w:tc>
        <w:tc>
          <w:tcPr>
            <w:tcW w:type="dxa" w:w="1247"/>
          </w:tcPr>
          <w:p>
            <w:pPr>
              <w:jc w:val="right"/>
            </w:pPr>
            <w:r>
              <w:rPr>
                <w:sz w:val="16"/>
              </w:rPr>
              <w:t>—</w:t>
            </w:r>
          </w:p>
        </w:tc>
        <w:tc>
          <w:tcPr>
            <w:tcW w:type="dxa" w:w="1361"/>
          </w:tcPr>
          <w:p>
            <w:pPr>
              <w:jc w:val="right"/>
            </w:pPr>
            <w:r>
              <w:rPr>
                <w:sz w:val="16"/>
              </w:rPr>
              <w:t>—</w:t>
            </w:r>
          </w:p>
        </w:tc>
        <w:tc>
          <w:tcPr>
            <w:tcW w:type="dxa" w:w="964"/>
          </w:tcPr>
          <w:p>
            <w:pPr>
              <w:jc w:val="right"/>
            </w:pPr>
            <w:r>
              <w:rPr>
                <w:sz w:val="16"/>
              </w:rPr>
              <w:t>—</w:t>
            </w:r>
          </w:p>
        </w:tc>
        <w:tc>
          <w:tcPr>
            <w:tcW w:type="dxa" w:w="1134"/>
          </w:tcPr>
          <w:p>
            <w:pPr>
              <w:jc w:val="right"/>
            </w:pPr>
            <w:r>
              <w:rPr>
                <w:sz w:val="16"/>
              </w:rPr>
              <w:t>-32,052</w:t>
            </w:r>
          </w:p>
        </w:tc>
        <w:tc>
          <w:tcPr>
            <w:tcW w:type="dxa" w:w="1361"/>
            <w:shd w:val="clear" w:color="auto" w:fill="c62828"/>
          </w:tcPr>
          <w:p>
            <w:pPr>
              <w:jc w:val="right"/>
            </w:pPr>
            <w:r>
              <w:rPr>
                <w:b/>
                <w:color w:val="FFFFFF"/>
                <w:sz w:val="16"/>
              </w:rPr>
              <w:t>-32,052</w:t>
            </w:r>
          </w:p>
        </w:tc>
        <w:tc>
          <w:tcPr>
            <w:tcW w:type="dxa" w:w="1134"/>
          </w:tcPr>
          <w:p>
            <w:pPr>
              <w:jc w:val="right"/>
            </w:pPr>
            <w:r>
              <w:rPr>
                <w:sz w:val="16"/>
              </w:rPr>
              <w:t>—</w:t>
            </w:r>
          </w:p>
        </w:tc>
        <w:tc>
          <w:tcPr>
            <w:tcW w:type="dxa" w:w="1304"/>
          </w:tcPr>
          <w:p>
            <w:pPr>
              <w:jc w:val="right"/>
            </w:pPr>
            <w:r>
              <w:rPr>
                <w:sz w:val="16"/>
              </w:rPr>
              <w:t>-128.209</w:t>
            </w:r>
          </w:p>
        </w:tc>
      </w:tr>
      <w:tr>
        <w:tc>
          <w:tcPr>
            <w:tcW w:type="dxa" w:w="567"/>
          </w:tcPr>
          <w:p>
            <w:pPr>
              <w:jc w:val="right"/>
            </w:pPr>
            <w:r>
              <w:rPr>
                <w:sz w:val="16"/>
              </w:rPr>
              <w:t>1</w:t>
            </w:r>
          </w:p>
        </w:tc>
        <w:tc>
          <w:tcPr>
            <w:tcW w:type="dxa" w:w="1247"/>
          </w:tcPr>
          <w:p>
            <w:pPr>
              <w:jc w:val="right"/>
            </w:pPr>
            <w:r>
              <w:rPr>
                <w:sz w:val="16"/>
              </w:rPr>
              <w:t>1,100,213</w:t>
            </w:r>
          </w:p>
        </w:tc>
        <w:tc>
          <w:tcPr>
            <w:tcW w:type="dxa" w:w="1361"/>
          </w:tcPr>
          <w:p>
            <w:pPr>
              <w:jc w:val="right"/>
            </w:pPr>
            <w:r>
              <w:rPr>
                <w:sz w:val="16"/>
              </w:rPr>
              <w:t>178,785</w:t>
            </w:r>
          </w:p>
        </w:tc>
        <w:tc>
          <w:tcPr>
            <w:tcW w:type="dxa" w:w="964"/>
          </w:tcPr>
          <w:p>
            <w:pPr>
              <w:jc w:val="right"/>
            </w:pPr>
            <w:r>
              <w:rPr>
                <w:sz w:val="16"/>
              </w:rPr>
              <w:t>7,436</w:t>
            </w:r>
          </w:p>
        </w:tc>
        <w:tc>
          <w:tcPr>
            <w:tcW w:type="dxa" w:w="1134"/>
          </w:tcPr>
          <w:p>
            <w:pPr>
              <w:jc w:val="right"/>
            </w:pPr>
            <w:r>
              <w:rPr>
                <w:sz w:val="16"/>
              </w:rPr>
              <w:t>+171,349</w:t>
            </w:r>
          </w:p>
        </w:tc>
        <w:tc>
          <w:tcPr>
            <w:tcW w:type="dxa" w:w="1361"/>
            <w:shd w:val="clear" w:color="auto" w:fill="e53935"/>
          </w:tcPr>
          <w:p>
            <w:pPr>
              <w:jc w:val="right"/>
            </w:pPr>
            <w:r>
              <w:rPr>
                <w:b/>
                <w:color w:val="FFFFFF"/>
                <w:sz w:val="16"/>
              </w:rPr>
              <w:t>+139,296</w:t>
            </w:r>
          </w:p>
        </w:tc>
        <w:tc>
          <w:tcPr>
            <w:tcW w:type="dxa" w:w="1134"/>
          </w:tcPr>
          <w:p>
            <w:pPr>
              <w:jc w:val="right"/>
            </w:pPr>
            <w:r>
              <w:rPr>
                <w:sz w:val="16"/>
              </w:rPr>
              <w:t>715.140</w:t>
            </w:r>
          </w:p>
        </w:tc>
        <w:tc>
          <w:tcPr>
            <w:tcW w:type="dxa" w:w="1304"/>
          </w:tcPr>
          <w:p>
            <w:pPr>
              <w:jc w:val="right"/>
            </w:pPr>
            <w:r>
              <w:rPr>
                <w:sz w:val="16"/>
              </w:rPr>
              <w:t>+557.184</w:t>
            </w:r>
          </w:p>
        </w:tc>
      </w:tr>
      <w:tr>
        <w:tc>
          <w:tcPr>
            <w:tcW w:type="dxa" w:w="567"/>
          </w:tcPr>
          <w:p>
            <w:pPr>
              <w:jc w:val="right"/>
            </w:pPr>
            <w:r>
              <w:rPr>
                <w:sz w:val="16"/>
              </w:rPr>
              <w:t>2</w:t>
            </w:r>
          </w:p>
        </w:tc>
        <w:tc>
          <w:tcPr>
            <w:tcW w:type="dxa" w:w="1247"/>
          </w:tcPr>
          <w:p>
            <w:pPr>
              <w:jc w:val="right"/>
            </w:pPr>
            <w:r>
              <w:rPr>
                <w:sz w:val="16"/>
              </w:rPr>
              <w:t>1,094,712</w:t>
            </w:r>
          </w:p>
        </w:tc>
        <w:tc>
          <w:tcPr>
            <w:tcW w:type="dxa" w:w="1361"/>
          </w:tcPr>
          <w:p>
            <w:pPr>
              <w:jc w:val="right"/>
            </w:pPr>
            <w:r>
              <w:rPr>
                <w:sz w:val="16"/>
              </w:rPr>
              <w:t>186,785</w:t>
            </w:r>
          </w:p>
        </w:tc>
        <w:tc>
          <w:tcPr>
            <w:tcW w:type="dxa" w:w="964"/>
          </w:tcPr>
          <w:p>
            <w:pPr>
              <w:jc w:val="right"/>
            </w:pPr>
            <w:r>
              <w:rPr>
                <w:sz w:val="16"/>
              </w:rPr>
              <w:t>7,436</w:t>
            </w:r>
          </w:p>
        </w:tc>
        <w:tc>
          <w:tcPr>
            <w:tcW w:type="dxa" w:w="1134"/>
          </w:tcPr>
          <w:p>
            <w:pPr>
              <w:jc w:val="right"/>
            </w:pPr>
            <w:r>
              <w:rPr>
                <w:sz w:val="16"/>
              </w:rPr>
              <w:t>+179,349</w:t>
            </w:r>
          </w:p>
        </w:tc>
        <w:tc>
          <w:tcPr>
            <w:tcW w:type="dxa" w:w="1361"/>
            <w:shd w:val="clear" w:color="auto" w:fill="ef6c00"/>
          </w:tcPr>
          <w:p>
            <w:pPr>
              <w:jc w:val="right"/>
            </w:pPr>
            <w:r>
              <w:rPr>
                <w:b/>
                <w:color w:val="FFFFFF"/>
                <w:sz w:val="16"/>
              </w:rPr>
              <w:t>+318,646</w:t>
            </w:r>
          </w:p>
        </w:tc>
        <w:tc>
          <w:tcPr>
            <w:tcW w:type="dxa" w:w="1134"/>
          </w:tcPr>
          <w:p>
            <w:pPr>
              <w:jc w:val="right"/>
            </w:pPr>
            <w:r>
              <w:rPr>
                <w:sz w:val="16"/>
              </w:rPr>
              <w:t>747.140</w:t>
            </w:r>
          </w:p>
        </w:tc>
        <w:tc>
          <w:tcPr>
            <w:tcW w:type="dxa" w:w="1304"/>
          </w:tcPr>
          <w:p>
            <w:pPr>
              <w:jc w:val="right"/>
            </w:pPr>
            <w:r>
              <w:rPr>
                <w:sz w:val="16"/>
              </w:rPr>
              <w:t>+1,274.584</w:t>
            </w:r>
          </w:p>
        </w:tc>
      </w:tr>
      <w:tr>
        <w:tc>
          <w:tcPr>
            <w:tcW w:type="dxa" w:w="567"/>
          </w:tcPr>
          <w:p>
            <w:pPr>
              <w:jc w:val="right"/>
            </w:pPr>
            <w:r>
              <w:rPr>
                <w:sz w:val="16"/>
              </w:rPr>
              <w:t>3</w:t>
            </w:r>
          </w:p>
        </w:tc>
        <w:tc>
          <w:tcPr>
            <w:tcW w:type="dxa" w:w="1247"/>
          </w:tcPr>
          <w:p>
            <w:pPr>
              <w:jc w:val="right"/>
            </w:pPr>
            <w:r>
              <w:rPr>
                <w:sz w:val="16"/>
              </w:rPr>
              <w:t>1,089,238</w:t>
            </w:r>
          </w:p>
        </w:tc>
        <w:tc>
          <w:tcPr>
            <w:tcW w:type="dxa" w:w="1361"/>
          </w:tcPr>
          <w:p>
            <w:pPr>
              <w:jc w:val="right"/>
            </w:pPr>
            <w:r>
              <w:rPr>
                <w:sz w:val="16"/>
              </w:rPr>
              <w:t>195,144</w:t>
            </w:r>
          </w:p>
        </w:tc>
        <w:tc>
          <w:tcPr>
            <w:tcW w:type="dxa" w:w="964"/>
          </w:tcPr>
          <w:p>
            <w:pPr>
              <w:jc w:val="right"/>
            </w:pPr>
            <w:r>
              <w:rPr>
                <w:sz w:val="16"/>
              </w:rPr>
              <w:t>7,436</w:t>
            </w:r>
          </w:p>
        </w:tc>
        <w:tc>
          <w:tcPr>
            <w:tcW w:type="dxa" w:w="1134"/>
          </w:tcPr>
          <w:p>
            <w:pPr>
              <w:jc w:val="right"/>
            </w:pPr>
            <w:r>
              <w:rPr>
                <w:sz w:val="16"/>
              </w:rPr>
              <w:t>+187,708</w:t>
            </w:r>
          </w:p>
        </w:tc>
        <w:tc>
          <w:tcPr>
            <w:tcW w:type="dxa" w:w="1361"/>
            <w:shd w:val="clear" w:color="auto" w:fill="f57c00"/>
          </w:tcPr>
          <w:p>
            <w:pPr>
              <w:jc w:val="right"/>
            </w:pPr>
            <w:r>
              <w:rPr>
                <w:b/>
                <w:color w:val="FFFFFF"/>
                <w:sz w:val="16"/>
              </w:rPr>
              <w:t>+506,353</w:t>
            </w:r>
          </w:p>
        </w:tc>
        <w:tc>
          <w:tcPr>
            <w:tcW w:type="dxa" w:w="1134"/>
          </w:tcPr>
          <w:p>
            <w:pPr>
              <w:jc w:val="right"/>
            </w:pPr>
            <w:r>
              <w:rPr>
                <w:sz w:val="16"/>
              </w:rPr>
              <w:t>780.576</w:t>
            </w:r>
          </w:p>
        </w:tc>
        <w:tc>
          <w:tcPr>
            <w:tcW w:type="dxa" w:w="1304"/>
          </w:tcPr>
          <w:p>
            <w:pPr>
              <w:jc w:val="right"/>
            </w:pPr>
            <w:r>
              <w:rPr>
                <w:sz w:val="16"/>
              </w:rPr>
              <w:t>+2,505.412</w:t>
            </w:r>
          </w:p>
        </w:tc>
      </w:tr>
      <w:tr>
        <w:tc>
          <w:tcPr>
            <w:tcW w:type="dxa" w:w="567"/>
          </w:tcPr>
          <w:p>
            <w:pPr>
              <w:jc w:val="right"/>
            </w:pPr>
            <w:r>
              <w:rPr>
                <w:sz w:val="16"/>
              </w:rPr>
              <w:t>4</w:t>
            </w:r>
          </w:p>
        </w:tc>
        <w:tc>
          <w:tcPr>
            <w:tcW w:type="dxa" w:w="1247"/>
          </w:tcPr>
          <w:p>
            <w:pPr>
              <w:jc w:val="right"/>
            </w:pPr>
            <w:r>
              <w:rPr>
                <w:sz w:val="16"/>
              </w:rPr>
              <w:t>1,083,792</w:t>
            </w:r>
          </w:p>
        </w:tc>
        <w:tc>
          <w:tcPr>
            <w:tcW w:type="dxa" w:w="1361"/>
          </w:tcPr>
          <w:p>
            <w:pPr>
              <w:jc w:val="right"/>
            </w:pPr>
            <w:r>
              <w:rPr>
                <w:sz w:val="16"/>
              </w:rPr>
              <w:t>203,877</w:t>
            </w:r>
          </w:p>
        </w:tc>
        <w:tc>
          <w:tcPr>
            <w:tcW w:type="dxa" w:w="964"/>
          </w:tcPr>
          <w:p>
            <w:pPr>
              <w:jc w:val="right"/>
            </w:pPr>
            <w:r>
              <w:rPr>
                <w:sz w:val="16"/>
              </w:rPr>
              <w:t>7,436</w:t>
            </w:r>
          </w:p>
        </w:tc>
        <w:tc>
          <w:tcPr>
            <w:tcW w:type="dxa" w:w="1134"/>
          </w:tcPr>
          <w:p>
            <w:pPr>
              <w:jc w:val="right"/>
            </w:pPr>
            <w:r>
              <w:rPr>
                <w:sz w:val="16"/>
              </w:rPr>
              <w:t>+196,441</w:t>
            </w:r>
          </w:p>
        </w:tc>
        <w:tc>
          <w:tcPr>
            <w:tcW w:type="dxa" w:w="1361"/>
            <w:shd w:val="clear" w:color="auto" w:fill="fb8c00"/>
          </w:tcPr>
          <w:p>
            <w:pPr>
              <w:jc w:val="right"/>
            </w:pPr>
            <w:r>
              <w:rPr>
                <w:b/>
                <w:color w:val="FFFFFF"/>
                <w:sz w:val="16"/>
              </w:rPr>
              <w:t>+702,794</w:t>
            </w:r>
          </w:p>
        </w:tc>
        <w:tc>
          <w:tcPr>
            <w:tcW w:type="dxa" w:w="1134"/>
          </w:tcPr>
          <w:p>
            <w:pPr>
              <w:jc w:val="right"/>
            </w:pPr>
            <w:r>
              <w:rPr>
                <w:sz w:val="16"/>
              </w:rPr>
              <w:t>815.508</w:t>
            </w:r>
          </w:p>
        </w:tc>
        <w:tc>
          <w:tcPr>
            <w:tcW w:type="dxa" w:w="1304"/>
          </w:tcPr>
          <w:p>
            <w:pPr>
              <w:jc w:val="right"/>
            </w:pPr>
            <w:r>
              <w:rPr>
                <w:sz w:val="16"/>
              </w:rPr>
              <w:t>+2,811.176</w:t>
            </w:r>
          </w:p>
        </w:tc>
      </w:tr>
      <w:tr>
        <w:tc>
          <w:tcPr>
            <w:tcW w:type="dxa" w:w="567"/>
          </w:tcPr>
          <w:p>
            <w:pPr>
              <w:jc w:val="right"/>
            </w:pPr>
            <w:r>
              <w:rPr>
                <w:sz w:val="16"/>
              </w:rPr>
              <w:t>5</w:t>
            </w:r>
          </w:p>
        </w:tc>
        <w:tc>
          <w:tcPr>
            <w:tcW w:type="dxa" w:w="1247"/>
          </w:tcPr>
          <w:p>
            <w:pPr>
              <w:jc w:val="right"/>
            </w:pPr>
            <w:r>
              <w:rPr>
                <w:sz w:val="16"/>
              </w:rPr>
              <w:t>1,078,373</w:t>
            </w:r>
          </w:p>
        </w:tc>
        <w:tc>
          <w:tcPr>
            <w:tcW w:type="dxa" w:w="1361"/>
          </w:tcPr>
          <w:p>
            <w:pPr>
              <w:jc w:val="right"/>
            </w:pPr>
            <w:r>
              <w:rPr>
                <w:sz w:val="16"/>
              </w:rPr>
              <w:t>213,000</w:t>
            </w:r>
          </w:p>
        </w:tc>
        <w:tc>
          <w:tcPr>
            <w:tcW w:type="dxa" w:w="964"/>
          </w:tcPr>
          <w:p>
            <w:pPr>
              <w:jc w:val="right"/>
            </w:pPr>
            <w:r>
              <w:rPr>
                <w:sz w:val="16"/>
              </w:rPr>
              <w:t>7,436</w:t>
            </w:r>
          </w:p>
        </w:tc>
        <w:tc>
          <w:tcPr>
            <w:tcW w:type="dxa" w:w="1134"/>
          </w:tcPr>
          <w:p>
            <w:pPr>
              <w:jc w:val="right"/>
            </w:pPr>
            <w:r>
              <w:rPr>
                <w:sz w:val="16"/>
              </w:rPr>
              <w:t>+205,564</w:t>
            </w:r>
          </w:p>
        </w:tc>
        <w:tc>
          <w:tcPr>
            <w:tcW w:type="dxa" w:w="1361"/>
            <w:shd w:val="clear" w:color="auto" w:fill="fdd835"/>
          </w:tcPr>
          <w:p>
            <w:pPr>
              <w:jc w:val="right"/>
            </w:pPr>
            <w:r>
              <w:rPr>
                <w:b/>
                <w:color w:val="FFFFFF"/>
                <w:sz w:val="16"/>
              </w:rPr>
              <w:t>+908,358</w:t>
            </w:r>
          </w:p>
        </w:tc>
        <w:tc>
          <w:tcPr>
            <w:tcW w:type="dxa" w:w="1134"/>
          </w:tcPr>
          <w:p>
            <w:pPr>
              <w:jc w:val="right"/>
            </w:pPr>
            <w:r>
              <w:rPr>
                <w:sz w:val="16"/>
              </w:rPr>
              <w:t>852.000</w:t>
            </w:r>
          </w:p>
        </w:tc>
        <w:tc>
          <w:tcPr>
            <w:tcW w:type="dxa" w:w="1304"/>
          </w:tcPr>
          <w:p>
            <w:pPr>
              <w:jc w:val="right"/>
            </w:pPr>
            <w:r>
              <w:rPr>
                <w:sz w:val="16"/>
              </w:rPr>
              <w:t>+3,633.432</w:t>
            </w:r>
          </w:p>
        </w:tc>
      </w:tr>
      <w:tr>
        <w:tc>
          <w:tcPr>
            <w:tcW w:type="dxa" w:w="567"/>
          </w:tcPr>
          <w:p>
            <w:pPr>
              <w:jc w:val="right"/>
            </w:pPr>
            <w:r>
              <w:rPr>
                <w:sz w:val="16"/>
              </w:rPr>
              <w:t>6</w:t>
            </w:r>
          </w:p>
        </w:tc>
        <w:tc>
          <w:tcPr>
            <w:tcW w:type="dxa" w:w="1247"/>
          </w:tcPr>
          <w:p>
            <w:pPr>
              <w:jc w:val="right"/>
            </w:pPr>
            <w:r>
              <w:rPr>
                <w:sz w:val="16"/>
              </w:rPr>
              <w:t>1,072,981</w:t>
            </w:r>
          </w:p>
        </w:tc>
        <w:tc>
          <w:tcPr>
            <w:tcW w:type="dxa" w:w="1361"/>
          </w:tcPr>
          <w:p>
            <w:pPr>
              <w:jc w:val="right"/>
            </w:pPr>
            <w:r>
              <w:rPr>
                <w:sz w:val="16"/>
              </w:rPr>
              <w:t>222,532</w:t>
            </w:r>
          </w:p>
        </w:tc>
        <w:tc>
          <w:tcPr>
            <w:tcW w:type="dxa" w:w="964"/>
          </w:tcPr>
          <w:p>
            <w:pPr>
              <w:jc w:val="right"/>
            </w:pPr>
            <w:r>
              <w:rPr>
                <w:sz w:val="16"/>
              </w:rPr>
              <w:t>7,436</w:t>
            </w:r>
          </w:p>
        </w:tc>
        <w:tc>
          <w:tcPr>
            <w:tcW w:type="dxa" w:w="1134"/>
          </w:tcPr>
          <w:p>
            <w:pPr>
              <w:jc w:val="right"/>
            </w:pPr>
            <w:r>
              <w:rPr>
                <w:sz w:val="16"/>
              </w:rPr>
              <w:t>+215,096</w:t>
            </w:r>
          </w:p>
        </w:tc>
        <w:tc>
          <w:tcPr>
            <w:tcW w:type="dxa" w:w="1361"/>
            <w:shd w:val="clear" w:color="auto" w:fill="c0ca33"/>
          </w:tcPr>
          <w:p>
            <w:pPr>
              <w:jc w:val="right"/>
            </w:pPr>
            <w:r>
              <w:rPr>
                <w:b/>
                <w:color w:val="FFFFFF"/>
                <w:sz w:val="16"/>
              </w:rPr>
              <w:t>+1,123,454</w:t>
            </w:r>
          </w:p>
        </w:tc>
        <w:tc>
          <w:tcPr>
            <w:tcW w:type="dxa" w:w="1134"/>
          </w:tcPr>
          <w:p>
            <w:pPr>
              <w:jc w:val="right"/>
            </w:pPr>
            <w:r>
              <w:rPr>
                <w:sz w:val="16"/>
              </w:rPr>
              <w:t>890.128</w:t>
            </w:r>
          </w:p>
        </w:tc>
        <w:tc>
          <w:tcPr>
            <w:tcW w:type="dxa" w:w="1304"/>
          </w:tcPr>
          <w:p>
            <w:pPr>
              <w:jc w:val="right"/>
            </w:pPr>
            <w:r>
              <w:rPr>
                <w:sz w:val="16"/>
              </w:rPr>
              <w:t>+4,493.816</w:t>
            </w:r>
          </w:p>
        </w:tc>
      </w:tr>
      <w:tr>
        <w:tc>
          <w:tcPr>
            <w:tcW w:type="dxa" w:w="567"/>
          </w:tcPr>
          <w:p>
            <w:pPr>
              <w:jc w:val="right"/>
            </w:pPr>
            <w:r>
              <w:rPr>
                <w:sz w:val="16"/>
              </w:rPr>
              <w:t>7</w:t>
            </w:r>
          </w:p>
        </w:tc>
        <w:tc>
          <w:tcPr>
            <w:tcW w:type="dxa" w:w="1247"/>
          </w:tcPr>
          <w:p>
            <w:pPr>
              <w:jc w:val="right"/>
            </w:pPr>
            <w:r>
              <w:rPr>
                <w:sz w:val="16"/>
              </w:rPr>
              <w:t>1,067,616</w:t>
            </w:r>
          </w:p>
        </w:tc>
        <w:tc>
          <w:tcPr>
            <w:tcW w:type="dxa" w:w="1361"/>
          </w:tcPr>
          <w:p>
            <w:pPr>
              <w:jc w:val="right"/>
            </w:pPr>
            <w:r>
              <w:rPr>
                <w:sz w:val="16"/>
              </w:rPr>
              <w:t>232,490</w:t>
            </w:r>
          </w:p>
        </w:tc>
        <w:tc>
          <w:tcPr>
            <w:tcW w:type="dxa" w:w="964"/>
          </w:tcPr>
          <w:p>
            <w:pPr>
              <w:jc w:val="right"/>
            </w:pPr>
            <w:r>
              <w:rPr>
                <w:sz w:val="16"/>
              </w:rPr>
              <w:t>7,436</w:t>
            </w:r>
          </w:p>
        </w:tc>
        <w:tc>
          <w:tcPr>
            <w:tcW w:type="dxa" w:w="1134"/>
          </w:tcPr>
          <w:p>
            <w:pPr>
              <w:jc w:val="right"/>
            </w:pPr>
            <w:r>
              <w:rPr>
                <w:sz w:val="16"/>
              </w:rPr>
              <w:t>+225,054</w:t>
            </w:r>
          </w:p>
        </w:tc>
        <w:tc>
          <w:tcPr>
            <w:tcW w:type="dxa" w:w="1361"/>
            <w:shd w:val="clear" w:color="auto" w:fill="7cb342"/>
          </w:tcPr>
          <w:p>
            <w:pPr>
              <w:jc w:val="right"/>
            </w:pPr>
            <w:r>
              <w:rPr>
                <w:b/>
                <w:color w:val="FFFFFF"/>
                <w:sz w:val="16"/>
              </w:rPr>
              <w:t>+1,348,508</w:t>
            </w:r>
          </w:p>
        </w:tc>
        <w:tc>
          <w:tcPr>
            <w:tcW w:type="dxa" w:w="1134"/>
          </w:tcPr>
          <w:p>
            <w:pPr>
              <w:jc w:val="right"/>
            </w:pPr>
            <w:r>
              <w:rPr>
                <w:sz w:val="16"/>
              </w:rPr>
              <w:t>929.960</w:t>
            </w:r>
          </w:p>
        </w:tc>
        <w:tc>
          <w:tcPr>
            <w:tcW w:type="dxa" w:w="1304"/>
          </w:tcPr>
          <w:p>
            <w:pPr>
              <w:jc w:val="right"/>
            </w:pPr>
            <w:r>
              <w:rPr>
                <w:sz w:val="16"/>
              </w:rPr>
              <w:t>+5,394.032</w:t>
            </w:r>
          </w:p>
        </w:tc>
      </w:tr>
      <w:tr>
        <w:tc>
          <w:tcPr>
            <w:tcW w:type="dxa" w:w="567"/>
          </w:tcPr>
          <w:p>
            <w:pPr>
              <w:jc w:val="right"/>
            </w:pPr>
            <w:r>
              <w:rPr>
                <w:sz w:val="16"/>
              </w:rPr>
              <w:t>8</w:t>
            </w:r>
          </w:p>
        </w:tc>
        <w:tc>
          <w:tcPr>
            <w:tcW w:type="dxa" w:w="1247"/>
          </w:tcPr>
          <w:p>
            <w:pPr>
              <w:jc w:val="right"/>
            </w:pPr>
            <w:r>
              <w:rPr>
                <w:sz w:val="16"/>
              </w:rPr>
              <w:t>1,062,278</w:t>
            </w:r>
          </w:p>
        </w:tc>
        <w:tc>
          <w:tcPr>
            <w:tcW w:type="dxa" w:w="1361"/>
          </w:tcPr>
          <w:p>
            <w:pPr>
              <w:jc w:val="right"/>
            </w:pPr>
            <w:r>
              <w:rPr>
                <w:sz w:val="16"/>
              </w:rPr>
              <w:t>242,894</w:t>
            </w:r>
          </w:p>
        </w:tc>
        <w:tc>
          <w:tcPr>
            <w:tcW w:type="dxa" w:w="964"/>
          </w:tcPr>
          <w:p>
            <w:pPr>
              <w:jc w:val="right"/>
            </w:pPr>
            <w:r>
              <w:rPr>
                <w:sz w:val="16"/>
              </w:rPr>
              <w:t>7,436</w:t>
            </w:r>
          </w:p>
        </w:tc>
        <w:tc>
          <w:tcPr>
            <w:tcW w:type="dxa" w:w="1134"/>
          </w:tcPr>
          <w:p>
            <w:pPr>
              <w:jc w:val="right"/>
            </w:pPr>
            <w:r>
              <w:rPr>
                <w:sz w:val="16"/>
              </w:rPr>
              <w:t>+235,458</w:t>
            </w:r>
          </w:p>
        </w:tc>
        <w:tc>
          <w:tcPr>
            <w:tcW w:type="dxa" w:w="1361"/>
            <w:shd w:val="clear" w:color="auto" w:fill="43a047"/>
          </w:tcPr>
          <w:p>
            <w:pPr>
              <w:jc w:val="right"/>
            </w:pPr>
            <w:r>
              <w:rPr>
                <w:b/>
                <w:color w:val="FFFFFF"/>
                <w:sz w:val="16"/>
              </w:rPr>
              <w:t>+1,583,966</w:t>
            </w:r>
          </w:p>
        </w:tc>
        <w:tc>
          <w:tcPr>
            <w:tcW w:type="dxa" w:w="1134"/>
          </w:tcPr>
          <w:p>
            <w:pPr>
              <w:jc w:val="right"/>
            </w:pPr>
            <w:r>
              <w:rPr>
                <w:sz w:val="16"/>
              </w:rPr>
              <w:t>971.576</w:t>
            </w:r>
          </w:p>
        </w:tc>
        <w:tc>
          <w:tcPr>
            <w:tcW w:type="dxa" w:w="1304"/>
          </w:tcPr>
          <w:p>
            <w:pPr>
              <w:jc w:val="right"/>
            </w:pPr>
            <w:r>
              <w:rPr>
                <w:sz w:val="16"/>
              </w:rPr>
              <w:t>+6,335.864</w:t>
            </w:r>
          </w:p>
        </w:tc>
      </w:tr>
      <w:tr>
        <w:tc>
          <w:tcPr>
            <w:tcW w:type="dxa" w:w="567"/>
          </w:tcPr>
          <w:p>
            <w:pPr>
              <w:jc w:val="right"/>
            </w:pPr>
            <w:r>
              <w:rPr>
                <w:sz w:val="16"/>
              </w:rPr>
              <w:t>9</w:t>
            </w:r>
          </w:p>
        </w:tc>
        <w:tc>
          <w:tcPr>
            <w:tcW w:type="dxa" w:w="1247"/>
          </w:tcPr>
          <w:p>
            <w:pPr>
              <w:jc w:val="right"/>
            </w:pPr>
            <w:r>
              <w:rPr>
                <w:sz w:val="16"/>
              </w:rPr>
              <w:t>1,056,967</w:t>
            </w:r>
          </w:p>
        </w:tc>
        <w:tc>
          <w:tcPr>
            <w:tcW w:type="dxa" w:w="1361"/>
          </w:tcPr>
          <w:p>
            <w:pPr>
              <w:jc w:val="right"/>
            </w:pPr>
            <w:r>
              <w:rPr>
                <w:sz w:val="16"/>
              </w:rPr>
              <w:t>253,764</w:t>
            </w:r>
          </w:p>
        </w:tc>
        <w:tc>
          <w:tcPr>
            <w:tcW w:type="dxa" w:w="964"/>
          </w:tcPr>
          <w:p>
            <w:pPr>
              <w:jc w:val="right"/>
            </w:pPr>
            <w:r>
              <w:rPr>
                <w:sz w:val="16"/>
              </w:rPr>
              <w:t>7,436</w:t>
            </w:r>
          </w:p>
        </w:tc>
        <w:tc>
          <w:tcPr>
            <w:tcW w:type="dxa" w:w="1134"/>
          </w:tcPr>
          <w:p>
            <w:pPr>
              <w:jc w:val="right"/>
            </w:pPr>
            <w:r>
              <w:rPr>
                <w:sz w:val="16"/>
              </w:rPr>
              <w:t>+246,328</w:t>
            </w:r>
          </w:p>
        </w:tc>
        <w:tc>
          <w:tcPr>
            <w:tcW w:type="dxa" w:w="1361"/>
            <w:shd w:val="clear" w:color="auto" w:fill="2e7d32"/>
          </w:tcPr>
          <w:p>
            <w:pPr>
              <w:jc w:val="right"/>
            </w:pPr>
            <w:r>
              <w:rPr>
                <w:b/>
                <w:color w:val="FFFFFF"/>
                <w:sz w:val="16"/>
              </w:rPr>
              <w:t>+1,830,293</w:t>
            </w:r>
          </w:p>
        </w:tc>
        <w:tc>
          <w:tcPr>
            <w:tcW w:type="dxa" w:w="1134"/>
          </w:tcPr>
          <w:p>
            <w:pPr>
              <w:jc w:val="right"/>
            </w:pPr>
            <w:r>
              <w:rPr>
                <w:sz w:val="16"/>
              </w:rPr>
              <w:t>1,015.056</w:t>
            </w:r>
          </w:p>
        </w:tc>
        <w:tc>
          <w:tcPr>
            <w:tcW w:type="dxa" w:w="1304"/>
          </w:tcPr>
          <w:p>
            <w:pPr>
              <w:jc w:val="right"/>
            </w:pPr>
            <w:r>
              <w:rPr>
                <w:sz w:val="16"/>
              </w:rPr>
              <w:t>+7,321.172</w:t>
            </w:r>
          </w:p>
        </w:tc>
      </w:tr>
    </w:tbl>
    <w:p>
      <w:pPr>
        <w:spacing w:before="40" w:after="40"/>
      </w:pPr>
      <w:r>
        <w:rPr>
          <w:color w:val="2E7D32"/>
          <w:sz w:val="14"/>
        </w:rPr>
        <w:t>────────────────────────────────────────────────────────────────────────────────────────</w:t>
      </w:r>
    </w:p>
    <w:p>
      <w:pPr>
        <w:spacing w:before="200" w:after="80"/>
      </w:pPr>
      <w:r>
        <w:rPr>
          <w:b/>
          <w:color w:val="1A3C5E"/>
          <w:sz w:val="32"/>
        </w:rPr>
        <w:t>3. El Flujo de Caja Acumulado: La Historia del Dinero</w:t>
      </w:r>
    </w:p>
    <w:p>
      <w:r>
        <w:rPr>
          <w:b w:val="0"/>
          <w:i w:val="0"/>
          <w:sz w:val="22"/>
        </w:rPr>
        <w:t xml:space="preserve">Para un inversionista, el Flujo de Caja Acumulado es </w:t>
      </w:r>
      <w:r>
        <w:rPr>
          <w:b/>
          <w:sz w:val="22"/>
        </w:rPr>
        <w:t xml:space="preserve">la métrica más honesta de todas: </w:t>
      </w:r>
      <w:r>
        <w:rPr>
          <w:b w:val="0"/>
          <w:i w:val="0"/>
          <w:sz w:val="22"/>
        </w:rPr>
        <w:t>muestra, año a año, cuánto dinero neto ha producido el proyecto desde el primer día. No es un promedio, no es una proyección teórica — es el saldo real del bolsillo del inversionista. Aquí interpretamos cada fase de esa curva.</w:t>
      </w:r>
    </w:p>
    <w:p>
      <w:pPr>
        <w:spacing w:before="200" w:after="80"/>
      </w:pPr>
      <w:r>
        <w:rPr>
          <w:b/>
          <w:color w:val="C62828"/>
          <w:sz w:val="26"/>
        </w:rPr>
        <w:t>3.1  Año 0: El Único Momento de Riesgo (−USD 32.052 / −$128,2 M COP)</w:t>
      </w:r>
    </w:p>
    <w:p>
      <w:r>
        <w:rPr>
          <w:b w:val="0"/>
          <w:i w:val="0"/>
          <w:sz w:val="20"/>
        </w:rPr>
        <w:t xml:space="preserve">El proyecto inicia con una salida de caja de </w:t>
      </w:r>
      <w:r>
        <w:rPr>
          <w:b/>
          <w:sz w:val="20"/>
        </w:rPr>
        <w:t>USD 32.052 netos después de aplicar la Ley 1715</w:t>
      </w:r>
      <w:r>
        <w:rPr>
          <w:b w:val="0"/>
          <w:i w:val="0"/>
          <w:sz w:val="20"/>
        </w:rPr>
        <w:t xml:space="preserve">. Esto equivale al 25,8% de descuento sobre el CAPEX bruto de USD 43.171. El Estado colombiano financia efectivamente casi un cuarto del proyecto a través de beneficios tributarios (Art. 11 deducción renta, Art. 12 exclusión IVA, Art. 14 depreciación acelerada). Este es el único año con flujo negativo. Después de este punto, </w:t>
      </w:r>
      <w:r>
        <w:rPr>
          <w:b/>
          <w:sz w:val="20"/>
        </w:rPr>
        <w:t>el proyecto nunca más cuesta dinero</w:t>
      </w:r>
      <w:r>
        <w:rPr>
          <w:b w:val="0"/>
          <w:i w:val="0"/>
          <w:sz w:val="20"/>
        </w:rPr>
        <w:t xml:space="preserve"> — solo genera retornos crecientes.</w:t>
      </w:r>
    </w:p>
    <w:p>
      <w:pPr>
        <w:spacing w:before="200" w:after="80"/>
      </w:pPr>
      <w:r>
        <w:rPr>
          <w:b/>
          <w:color w:val="1565C0"/>
          <w:sz w:val="26"/>
        </w:rPr>
        <w:t>3.2  Año 1: Recuperación Total en 68 Días (+USD 139.296)</w:t>
      </w:r>
    </w:p>
    <w:p>
      <w:r>
        <w:rPr>
          <w:b w:val="0"/>
          <w:i w:val="0"/>
          <w:sz w:val="20"/>
        </w:rPr>
        <w:t xml:space="preserve">Desde el primer año operativo, el proyecto genera </w:t>
      </w:r>
      <w:r>
        <w:rPr>
          <w:b/>
          <w:sz w:val="20"/>
        </w:rPr>
        <w:t>USD 171.349 netos</w:t>
      </w:r>
      <w:r>
        <w:rPr>
          <w:b w:val="0"/>
          <w:i w:val="0"/>
          <w:sz w:val="20"/>
        </w:rPr>
        <w:t xml:space="preserve"> (ingresos 178.785 − O&amp;M 7.436). Esto significa que la inversión inicial de USD 32.052 se recupera en </w:t>
      </w:r>
      <w:r>
        <w:rPr>
          <w:b/>
          <w:sz w:val="20"/>
        </w:rPr>
        <w:t>apenas 68 días</w:t>
      </w:r>
      <w:r>
        <w:rPr>
          <w:b w:val="0"/>
          <w:i w:val="0"/>
          <w:sz w:val="20"/>
        </w:rPr>
        <w:t xml:space="preserve"> (0,19 años). Al cierre del año 1, el inversionista ya tiene </w:t>
      </w:r>
      <w:r>
        <w:rPr>
          <w:b/>
          <w:sz w:val="20"/>
        </w:rPr>
        <w:t>USD 139.296 de ganancia acumulada neta</w:t>
      </w:r>
      <w:r>
        <w:rPr>
          <w:b w:val="0"/>
          <w:i w:val="0"/>
          <w:sz w:val="20"/>
        </w:rPr>
        <w:t xml:space="preserve"> — equivalente a +$557 millones de pesos. Dicho de otra forma: la inversión se pagó completa antes de que terminara el primer trimestre de operación.</w:t>
      </w:r>
    </w:p>
    <w:p>
      <w:pPr>
        <w:spacing w:before="200" w:after="80"/>
      </w:pPr>
      <w:r>
        <w:rPr>
          <w:b/>
          <w:color w:val="1565C0"/>
          <w:sz w:val="26"/>
        </w:rPr>
        <w:t>3.3  Años 2–5: El Motor de Acumulación Exponencial</w:t>
      </w:r>
    </w:p>
    <w:p>
      <w:r>
        <w:rPr>
          <w:b w:val="0"/>
          <w:i w:val="0"/>
          <w:sz w:val="20"/>
        </w:rPr>
        <w:t>La escalación tarifaria del 5%/año es el motor silencioso de esta inversión. Cada año los ingresos crecen en promedio USD +9.000–12.000, mientras el O&amp;M se mantiene fijo en USD 7.436/año. La diferencia se acumula íntegramente para el inversionista:</w:t>
        <w:br/>
      </w:r>
    </w:p>
    <w:p>
      <w:pPr>
        <w:pStyle w:val="ListBullet"/>
      </w:pPr>
      <w:r>
        <w:rPr>
          <w:b/>
          <w:sz w:val="20"/>
        </w:rPr>
        <w:t xml:space="preserve">Año 2: +USD 179.349  →  </w:t>
      </w:r>
      <w:r>
        <w:rPr>
          <w:b w:val="0"/>
          <w:i w:val="0"/>
          <w:sz w:val="20"/>
        </w:rPr>
        <w:t>Flujo acum. +USD 318.646 — 10× la inversión inicial recuperada</w:t>
      </w:r>
    </w:p>
    <w:p>
      <w:pPr>
        <w:pStyle w:val="ListBullet"/>
      </w:pPr>
      <w:r>
        <w:rPr>
          <w:b/>
          <w:sz w:val="20"/>
        </w:rPr>
        <w:t xml:space="preserve">Año 3: +USD 187.708  →  </w:t>
      </w:r>
      <w:r>
        <w:rPr>
          <w:b w:val="0"/>
          <w:i w:val="0"/>
          <w:sz w:val="20"/>
        </w:rPr>
        <w:t>Flujo acum. +USD 506.353 — supera medio millón de dólares</w:t>
      </w:r>
    </w:p>
    <w:p>
      <w:pPr>
        <w:pStyle w:val="ListBullet"/>
      </w:pPr>
      <w:r>
        <w:rPr>
          <w:b/>
          <w:sz w:val="20"/>
        </w:rPr>
        <w:t xml:space="preserve">Año 4: +USD 196.441  →  </w:t>
      </w:r>
      <w:r>
        <w:rPr>
          <w:b w:val="0"/>
          <w:i w:val="0"/>
          <w:sz w:val="20"/>
        </w:rPr>
        <w:t>Flujo acum. +USD 702.794 — en camino al primer millón</w:t>
      </w:r>
    </w:p>
    <w:p>
      <w:pPr>
        <w:pStyle w:val="ListBullet"/>
      </w:pPr>
      <w:r>
        <w:rPr>
          <w:b/>
          <w:sz w:val="20"/>
        </w:rPr>
        <w:t xml:space="preserve">Año 5: +USD 205.564  →  </w:t>
      </w:r>
      <w:r>
        <w:rPr>
          <w:b w:val="0"/>
          <w:i w:val="0"/>
          <w:sz w:val="20"/>
        </w:rPr>
        <w:t>Flujo acum. +USD 908.358 — más de 28× la inversión original</w:t>
      </w:r>
    </w:p>
    <w:p>
      <w:pPr>
        <w:spacing w:before="200" w:after="80"/>
      </w:pPr>
      <w:r>
        <w:rPr>
          <w:b/>
          <w:color w:val="2E7D32"/>
          <w:sz w:val="26"/>
        </w:rPr>
        <w:t>3.4  Años 6–9: Superando el Millón de Dólares</w:t>
      </w:r>
    </w:p>
    <w:p>
      <w:r>
        <w:rPr>
          <w:b w:val="0"/>
          <w:i w:val="0"/>
          <w:sz w:val="20"/>
        </w:rPr>
        <w:t xml:space="preserve">En el año 6 el proyecto cruza el umbral del </w:t>
      </w:r>
      <w:r>
        <w:rPr>
          <w:b/>
          <w:sz w:val="20"/>
        </w:rPr>
        <w:t>primer millón de dólares de ganancia neta acumulada (USD 1.123.454)</w:t>
      </w:r>
      <w:r>
        <w:rPr>
          <w:b w:val="0"/>
          <w:i w:val="0"/>
          <w:sz w:val="20"/>
        </w:rPr>
        <w:t xml:space="preserve"> — con una inversión inicial que no llegó a USD 33.000. Al año 9 (último visible en pantalla), el flujo acumulado alcanza </w:t>
      </w:r>
      <w:r>
        <w:rPr>
          <w:b/>
          <w:sz w:val="20"/>
        </w:rPr>
        <w:t>USD 1.830.293</w:t>
      </w:r>
      <w:r>
        <w:rPr>
          <w:b w:val="0"/>
          <w:i w:val="0"/>
          <w:sz w:val="20"/>
        </w:rPr>
        <w:t xml:space="preserve"> equivalentes a </w:t>
      </w:r>
      <w:r>
        <w:rPr>
          <w:b/>
          <w:sz w:val="20"/>
        </w:rPr>
        <w:t>$7.321 millones de pesos</w:t>
      </w:r>
      <w:r>
        <w:rPr>
          <w:b w:val="0"/>
          <w:i w:val="0"/>
          <w:sz w:val="20"/>
        </w:rPr>
        <w:t xml:space="preserve">. Esto representa un retorno de </w:t>
      </w:r>
      <w:r>
        <w:rPr>
          <w:b/>
          <w:color w:val="2E7D32"/>
          <w:sz w:val="20"/>
        </w:rPr>
        <w:t>57× la inversión inicial</w:t>
      </w:r>
      <w:r>
        <w:rPr>
          <w:b w:val="0"/>
          <w:i w:val="0"/>
          <w:sz w:val="20"/>
        </w:rPr>
        <w:t xml:space="preserve"> en solo 9 años. Y el proyecto sigue generando.</w:t>
      </w:r>
    </w:p>
    <w:p>
      <w:pPr>
        <w:spacing w:before="40" w:after="40"/>
      </w:pPr>
      <w:r>
        <w:rPr>
          <w:color w:val="2E7D32"/>
          <w:sz w:val="14"/>
        </w:rPr>
        <w:t>────────────────────────────────────────────────────────────────────────────────────────</w:t>
      </w:r>
    </w:p>
    <w:p>
      <w:pPr>
        <w:spacing w:before="200" w:after="80"/>
      </w:pPr>
      <w:r>
        <w:rPr>
          <w:b/>
          <w:color w:val="1A3C5E"/>
          <w:sz w:val="32"/>
        </w:rPr>
        <w:t>4. Robustez del Proyecto: Sensibilidad por Precio de Energía</w:t>
      </w:r>
    </w:p>
    <w:p>
      <w:r>
        <w:rPr>
          <w:b w:val="0"/>
          <w:i w:val="0"/>
          <w:sz w:val="20"/>
        </w:rPr>
        <w:t>Incluso en el peor escenario histórico de precio de bolsa en Colombia (160 COP/kWh), el proyecto sigue siendo bancable y rentable. La siguiente tabla lo demuestra:</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a3c5e"/>
          </w:tcPr>
          <w:p>
            <w:r>
              <w:rPr>
                <w:b/>
                <w:color w:val="FFFFFF"/>
                <w:sz w:val="16"/>
              </w:rPr>
              <w:t>Escenario</w:t>
            </w:r>
          </w:p>
        </w:tc>
        <w:tc>
          <w:tcPr>
            <w:tcW w:type="dxa" w:w="1176"/>
            <w:shd w:val="clear" w:color="auto" w:fill="1a3c5e"/>
          </w:tcPr>
          <w:p>
            <w:r>
              <w:rPr>
                <w:b/>
                <w:color w:val="FFFFFF"/>
                <w:sz w:val="16"/>
              </w:rPr>
              <w:t>COP/kWh</w:t>
            </w:r>
          </w:p>
        </w:tc>
        <w:tc>
          <w:tcPr>
            <w:tcW w:type="dxa" w:w="1176"/>
            <w:shd w:val="clear" w:color="auto" w:fill="1a3c5e"/>
          </w:tcPr>
          <w:p>
            <w:r>
              <w:rPr>
                <w:b/>
                <w:color w:val="FFFFFF"/>
                <w:sz w:val="16"/>
              </w:rPr>
              <w:t>USD/kWh</w:t>
            </w:r>
          </w:p>
        </w:tc>
        <w:tc>
          <w:tcPr>
            <w:tcW w:type="dxa" w:w="1176"/>
            <w:shd w:val="clear" w:color="auto" w:fill="1a3c5e"/>
          </w:tcPr>
          <w:p>
            <w:r>
              <w:rPr>
                <w:b/>
                <w:color w:val="FFFFFF"/>
                <w:sz w:val="16"/>
              </w:rPr>
              <w:t>Ingreso Año 1</w:t>
              <w:br/>
              <w:t>(USD)</w:t>
            </w:r>
          </w:p>
        </w:tc>
        <w:tc>
          <w:tcPr>
            <w:tcW w:type="dxa" w:w="1176"/>
            <w:shd w:val="clear" w:color="auto" w:fill="1a3c5e"/>
          </w:tcPr>
          <w:p>
            <w:r>
              <w:rPr>
                <w:b/>
                <w:color w:val="FFFFFF"/>
                <w:sz w:val="16"/>
              </w:rPr>
              <w:t>Payback</w:t>
            </w:r>
          </w:p>
        </w:tc>
        <w:tc>
          <w:tcPr>
            <w:tcW w:type="dxa" w:w="1176"/>
            <w:shd w:val="clear" w:color="auto" w:fill="1a3c5e"/>
          </w:tcPr>
          <w:p>
            <w:r>
              <w:rPr>
                <w:b/>
                <w:color w:val="FFFFFF"/>
                <w:sz w:val="16"/>
              </w:rPr>
              <w:t>TIR</w:t>
            </w:r>
          </w:p>
        </w:tc>
        <w:tc>
          <w:tcPr>
            <w:tcW w:type="dxa" w:w="1176"/>
            <w:shd w:val="clear" w:color="auto" w:fill="1a3c5e"/>
          </w:tcPr>
          <w:p>
            <w:r>
              <w:rPr>
                <w:b/>
                <w:color w:val="FFFFFF"/>
                <w:sz w:val="16"/>
              </w:rPr>
              <w:t>VPN WACC</w:t>
              <w:br/>
              <w:t>(USD)</w:t>
            </w:r>
          </w:p>
        </w:tc>
        <w:tc>
          <w:tcPr>
            <w:tcW w:type="dxa" w:w="1176"/>
            <w:shd w:val="clear" w:color="auto" w:fill="1a3c5e"/>
          </w:tcPr>
          <w:p>
            <w:r>
              <w:rPr>
                <w:b/>
                <w:color w:val="FFFFFF"/>
                <w:sz w:val="16"/>
              </w:rPr>
              <w:t>Estado</w:t>
            </w:r>
          </w:p>
        </w:tc>
      </w:tr>
      <w:tr>
        <w:tc>
          <w:tcPr>
            <w:tcW w:type="dxa" w:w="1176"/>
          </w:tcPr>
          <w:p>
            <w:r>
              <w:rPr>
                <w:sz w:val="16"/>
              </w:rPr>
              <w:t>Autoconsumo industrial</w:t>
            </w:r>
          </w:p>
        </w:tc>
        <w:tc>
          <w:tcPr>
            <w:tcW w:type="dxa" w:w="1176"/>
          </w:tcPr>
          <w:p>
            <w:r>
              <w:rPr>
                <w:sz w:val="16"/>
              </w:rPr>
              <w:t>650</w:t>
            </w:r>
          </w:p>
        </w:tc>
        <w:tc>
          <w:tcPr>
            <w:tcW w:type="dxa" w:w="1176"/>
          </w:tcPr>
          <w:p>
            <w:r>
              <w:rPr>
                <w:sz w:val="16"/>
              </w:rPr>
              <w:t>0,1625</w:t>
            </w:r>
          </w:p>
        </w:tc>
        <w:tc>
          <w:tcPr>
            <w:tcW w:type="dxa" w:w="1176"/>
          </w:tcPr>
          <w:p>
            <w:r>
              <w:rPr>
                <w:sz w:val="16"/>
              </w:rPr>
              <w:t>178.784</w:t>
            </w:r>
          </w:p>
        </w:tc>
        <w:tc>
          <w:tcPr>
            <w:tcW w:type="dxa" w:w="1176"/>
          </w:tcPr>
          <w:p>
            <w:r>
              <w:rPr>
                <w:sz w:val="16"/>
              </w:rPr>
              <w:t>0,2a</w:t>
            </w:r>
          </w:p>
        </w:tc>
        <w:tc>
          <w:tcPr>
            <w:tcW w:type="dxa" w:w="1176"/>
          </w:tcPr>
          <w:p>
            <w:r>
              <w:rPr>
                <w:sz w:val="16"/>
              </w:rPr>
              <w:t>—</w:t>
            </w:r>
          </w:p>
        </w:tc>
        <w:tc>
          <w:tcPr>
            <w:tcW w:type="dxa" w:w="1176"/>
          </w:tcPr>
          <w:p>
            <w:r>
              <w:rPr>
                <w:sz w:val="16"/>
              </w:rPr>
              <w:t>1.653.508</w:t>
            </w:r>
          </w:p>
        </w:tc>
        <w:tc>
          <w:tcPr>
            <w:tcW w:type="dxa" w:w="1176"/>
            <w:shd w:val="clear" w:color="auto" w:fill="c8e6c9"/>
          </w:tcPr>
          <w:p>
            <w:r>
              <w:rPr>
                <w:color w:val="1B5E20"/>
                <w:sz w:val="16"/>
              </w:rPr>
              <w:t>Bancable</w:t>
            </w:r>
          </w:p>
        </w:tc>
      </w:tr>
      <w:tr>
        <w:tc>
          <w:tcPr>
            <w:tcW w:type="dxa" w:w="1176"/>
          </w:tcPr>
          <w:p>
            <w:r>
              <w:rPr>
                <w:sz w:val="16"/>
              </w:rPr>
              <w:t>Medición neta alta (CREG 174)</w:t>
            </w:r>
          </w:p>
        </w:tc>
        <w:tc>
          <w:tcPr>
            <w:tcW w:type="dxa" w:w="1176"/>
          </w:tcPr>
          <w:p>
            <w:r>
              <w:rPr>
                <w:sz w:val="16"/>
              </w:rPr>
              <w:t>450</w:t>
            </w:r>
          </w:p>
        </w:tc>
        <w:tc>
          <w:tcPr>
            <w:tcW w:type="dxa" w:w="1176"/>
          </w:tcPr>
          <w:p>
            <w:r>
              <w:rPr>
                <w:sz w:val="16"/>
              </w:rPr>
              <w:t>0,1125</w:t>
            </w:r>
          </w:p>
        </w:tc>
        <w:tc>
          <w:tcPr>
            <w:tcW w:type="dxa" w:w="1176"/>
          </w:tcPr>
          <w:p>
            <w:r>
              <w:rPr>
                <w:sz w:val="16"/>
              </w:rPr>
              <w:t>123.773</w:t>
            </w:r>
          </w:p>
        </w:tc>
        <w:tc>
          <w:tcPr>
            <w:tcW w:type="dxa" w:w="1176"/>
          </w:tcPr>
          <w:p>
            <w:r>
              <w:rPr>
                <w:sz w:val="16"/>
              </w:rPr>
              <w:t>0,3a</w:t>
            </w:r>
          </w:p>
        </w:tc>
        <w:tc>
          <w:tcPr>
            <w:tcW w:type="dxa" w:w="1176"/>
          </w:tcPr>
          <w:p>
            <w:r>
              <w:rPr>
                <w:sz w:val="16"/>
              </w:rPr>
              <w:t>—</w:t>
            </w:r>
          </w:p>
        </w:tc>
        <w:tc>
          <w:tcPr>
            <w:tcW w:type="dxa" w:w="1176"/>
          </w:tcPr>
          <w:p>
            <w:r>
              <w:rPr>
                <w:sz w:val="16"/>
              </w:rPr>
              <w:t>1.117.471</w:t>
            </w:r>
          </w:p>
        </w:tc>
        <w:tc>
          <w:tcPr>
            <w:tcW w:type="dxa" w:w="1176"/>
            <w:shd w:val="clear" w:color="auto" w:fill="c8e6c9"/>
          </w:tcPr>
          <w:p>
            <w:r>
              <w:rPr>
                <w:color w:val="1B5E20"/>
                <w:sz w:val="16"/>
              </w:rPr>
              <w:t>Bancable</w:t>
            </w:r>
          </w:p>
        </w:tc>
      </w:tr>
      <w:tr>
        <w:tc>
          <w:tcPr>
            <w:tcW w:type="dxa" w:w="1176"/>
          </w:tcPr>
          <w:p>
            <w:r>
              <w:rPr>
                <w:sz w:val="16"/>
              </w:rPr>
              <w:t>PPA bilateral privado</w:t>
            </w:r>
          </w:p>
        </w:tc>
        <w:tc>
          <w:tcPr>
            <w:tcW w:type="dxa" w:w="1176"/>
          </w:tcPr>
          <w:p>
            <w:r>
              <w:rPr>
                <w:sz w:val="16"/>
              </w:rPr>
              <w:t>280</w:t>
            </w:r>
          </w:p>
        </w:tc>
        <w:tc>
          <w:tcPr>
            <w:tcW w:type="dxa" w:w="1176"/>
          </w:tcPr>
          <w:p>
            <w:r>
              <w:rPr>
                <w:sz w:val="16"/>
              </w:rPr>
              <w:t>0,0700</w:t>
            </w:r>
          </w:p>
        </w:tc>
        <w:tc>
          <w:tcPr>
            <w:tcW w:type="dxa" w:w="1176"/>
          </w:tcPr>
          <w:p>
            <w:r>
              <w:rPr>
                <w:sz w:val="16"/>
              </w:rPr>
              <w:t>77.014</w:t>
            </w:r>
          </w:p>
        </w:tc>
        <w:tc>
          <w:tcPr>
            <w:tcW w:type="dxa" w:w="1176"/>
          </w:tcPr>
          <w:p>
            <w:r>
              <w:rPr>
                <w:sz w:val="16"/>
              </w:rPr>
              <w:t>0,5a</w:t>
            </w:r>
          </w:p>
        </w:tc>
        <w:tc>
          <w:tcPr>
            <w:tcW w:type="dxa" w:w="1176"/>
          </w:tcPr>
          <w:p>
            <w:r>
              <w:rPr>
                <w:sz w:val="16"/>
              </w:rPr>
              <w:t>—</w:t>
            </w:r>
          </w:p>
        </w:tc>
        <w:tc>
          <w:tcPr>
            <w:tcW w:type="dxa" w:w="1176"/>
          </w:tcPr>
          <w:p>
            <w:r>
              <w:rPr>
                <w:sz w:val="16"/>
              </w:rPr>
              <w:t>641.840</w:t>
            </w:r>
          </w:p>
        </w:tc>
        <w:tc>
          <w:tcPr>
            <w:tcW w:type="dxa" w:w="1176"/>
            <w:shd w:val="clear" w:color="auto" w:fill="c8e6c9"/>
          </w:tcPr>
          <w:p>
            <w:r>
              <w:rPr>
                <w:color w:val="1B5E20"/>
                <w:sz w:val="16"/>
              </w:rPr>
              <w:t>Bancable</w:t>
            </w:r>
          </w:p>
        </w:tc>
      </w:tr>
      <w:tr>
        <w:tc>
          <w:tcPr>
            <w:tcW w:type="dxa" w:w="1176"/>
          </w:tcPr>
          <w:p>
            <w:r>
              <w:rPr>
                <w:sz w:val="16"/>
              </w:rPr>
              <w:t>Precio bolsa XM (promedio)</w:t>
            </w:r>
          </w:p>
        </w:tc>
        <w:tc>
          <w:tcPr>
            <w:tcW w:type="dxa" w:w="1176"/>
          </w:tcPr>
          <w:p>
            <w:r>
              <w:rPr>
                <w:sz w:val="16"/>
              </w:rPr>
              <w:t>220</w:t>
            </w:r>
          </w:p>
        </w:tc>
        <w:tc>
          <w:tcPr>
            <w:tcW w:type="dxa" w:w="1176"/>
          </w:tcPr>
          <w:p>
            <w:r>
              <w:rPr>
                <w:sz w:val="16"/>
              </w:rPr>
              <w:t>0,0550</w:t>
            </w:r>
          </w:p>
        </w:tc>
        <w:tc>
          <w:tcPr>
            <w:tcW w:type="dxa" w:w="1176"/>
          </w:tcPr>
          <w:p>
            <w:r>
              <w:rPr>
                <w:sz w:val="16"/>
              </w:rPr>
              <w:t>60.511</w:t>
            </w:r>
          </w:p>
        </w:tc>
        <w:tc>
          <w:tcPr>
            <w:tcW w:type="dxa" w:w="1176"/>
          </w:tcPr>
          <w:p>
            <w:r>
              <w:rPr>
                <w:sz w:val="16"/>
              </w:rPr>
              <w:t>0,6a</w:t>
            </w:r>
          </w:p>
        </w:tc>
        <w:tc>
          <w:tcPr>
            <w:tcW w:type="dxa" w:w="1176"/>
          </w:tcPr>
          <w:p>
            <w:r>
              <w:rPr>
                <w:sz w:val="16"/>
              </w:rPr>
              <w:t>170,7%</w:t>
            </w:r>
          </w:p>
        </w:tc>
        <w:tc>
          <w:tcPr>
            <w:tcW w:type="dxa" w:w="1176"/>
          </w:tcPr>
          <w:p>
            <w:r>
              <w:rPr>
                <w:sz w:val="16"/>
              </w:rPr>
              <w:t>501.029</w:t>
            </w:r>
          </w:p>
        </w:tc>
        <w:tc>
          <w:tcPr>
            <w:tcW w:type="dxa" w:w="1176"/>
            <w:shd w:val="clear" w:color="auto" w:fill="c8e6c9"/>
          </w:tcPr>
          <w:p>
            <w:r>
              <w:rPr>
                <w:color w:val="1B5E20"/>
                <w:sz w:val="16"/>
              </w:rPr>
              <w:t>Bancable</w:t>
            </w:r>
          </w:p>
        </w:tc>
      </w:tr>
      <w:tr>
        <w:tc>
          <w:tcPr>
            <w:tcW w:type="dxa" w:w="1176"/>
          </w:tcPr>
          <w:p>
            <w:r>
              <w:rPr>
                <w:sz w:val="16"/>
              </w:rPr>
              <w:t>Precio bolsa XM (mínimo hist.)</w:t>
            </w:r>
          </w:p>
        </w:tc>
        <w:tc>
          <w:tcPr>
            <w:tcW w:type="dxa" w:w="1176"/>
          </w:tcPr>
          <w:p>
            <w:r>
              <w:rPr>
                <w:sz w:val="16"/>
              </w:rPr>
              <w:t>160</w:t>
            </w:r>
          </w:p>
        </w:tc>
        <w:tc>
          <w:tcPr>
            <w:tcW w:type="dxa" w:w="1176"/>
          </w:tcPr>
          <w:p>
            <w:r>
              <w:rPr>
                <w:sz w:val="16"/>
              </w:rPr>
              <w:t>0,0400</w:t>
            </w:r>
          </w:p>
        </w:tc>
        <w:tc>
          <w:tcPr>
            <w:tcW w:type="dxa" w:w="1176"/>
          </w:tcPr>
          <w:p>
            <w:r>
              <w:rPr>
                <w:sz w:val="16"/>
              </w:rPr>
              <w:t>44.008</w:t>
            </w:r>
          </w:p>
        </w:tc>
        <w:tc>
          <w:tcPr>
            <w:tcW w:type="dxa" w:w="1176"/>
          </w:tcPr>
          <w:p>
            <w:r>
              <w:rPr>
                <w:sz w:val="16"/>
              </w:rPr>
              <w:t>0,9a</w:t>
            </w:r>
          </w:p>
        </w:tc>
        <w:tc>
          <w:tcPr>
            <w:tcW w:type="dxa" w:w="1176"/>
          </w:tcPr>
          <w:p>
            <w:r>
              <w:rPr>
                <w:sz w:val="16"/>
              </w:rPr>
              <w:t>119,5%</w:t>
            </w:r>
          </w:p>
        </w:tc>
        <w:tc>
          <w:tcPr>
            <w:tcW w:type="dxa" w:w="1176"/>
          </w:tcPr>
          <w:p>
            <w:r>
              <w:rPr>
                <w:sz w:val="16"/>
              </w:rPr>
              <w:t>340.218</w:t>
            </w:r>
          </w:p>
        </w:tc>
        <w:tc>
          <w:tcPr>
            <w:tcW w:type="dxa" w:w="1176"/>
            <w:shd w:val="clear" w:color="auto" w:fill="c8e6c9"/>
          </w:tcPr>
          <w:p>
            <w:r>
              <w:rPr>
                <w:color w:val="1B5E20"/>
                <w:sz w:val="16"/>
              </w:rPr>
              <w:t>Bancable</w:t>
            </w:r>
          </w:p>
        </w:tc>
      </w:tr>
      <w:tr>
        <w:tc>
          <w:tcPr>
            <w:tcW w:type="dxa" w:w="1176"/>
          </w:tcPr>
          <w:p>
            <w:r>
              <w:rPr>
                <w:sz w:val="16"/>
              </w:rPr>
              <w:t>Umbral mínimo (VPN = 0)</w:t>
            </w:r>
          </w:p>
        </w:tc>
        <w:tc>
          <w:tcPr>
            <w:tcW w:type="dxa" w:w="1176"/>
          </w:tcPr>
          <w:p>
            <w:r>
              <w:rPr>
                <w:sz w:val="16"/>
              </w:rPr>
              <w:t>50</w:t>
            </w:r>
          </w:p>
        </w:tc>
        <w:tc>
          <w:tcPr>
            <w:tcW w:type="dxa" w:w="1176"/>
          </w:tcPr>
          <w:p>
            <w:r>
              <w:rPr>
                <w:sz w:val="16"/>
              </w:rPr>
              <w:t>0,0125</w:t>
            </w:r>
          </w:p>
        </w:tc>
        <w:tc>
          <w:tcPr>
            <w:tcW w:type="dxa" w:w="1176"/>
          </w:tcPr>
          <w:p>
            <w:r>
              <w:rPr>
                <w:sz w:val="16"/>
              </w:rPr>
              <w:t>13.752</w:t>
            </w:r>
          </w:p>
        </w:tc>
        <w:tc>
          <w:tcPr>
            <w:tcW w:type="dxa" w:w="1176"/>
          </w:tcPr>
          <w:p>
            <w:r>
              <w:rPr>
                <w:sz w:val="16"/>
              </w:rPr>
              <w:t>≥15a</w:t>
            </w:r>
          </w:p>
        </w:tc>
        <w:tc>
          <w:tcPr>
            <w:tcW w:type="dxa" w:w="1176"/>
          </w:tcPr>
          <w:p>
            <w:r>
              <w:rPr>
                <w:sz w:val="16"/>
              </w:rPr>
              <w:t>≈10%</w:t>
            </w:r>
          </w:p>
        </w:tc>
        <w:tc>
          <w:tcPr>
            <w:tcW w:type="dxa" w:w="1176"/>
          </w:tcPr>
          <w:p>
            <w:r>
              <w:rPr>
                <w:sz w:val="16"/>
              </w:rPr>
              <w:t>0</w:t>
            </w:r>
          </w:p>
        </w:tc>
        <w:tc>
          <w:tcPr>
            <w:tcW w:type="dxa" w:w="1176"/>
            <w:shd w:val="clear" w:color="auto" w:fill="fff3e0"/>
          </w:tcPr>
          <w:p>
            <w:r>
              <w:rPr>
                <w:color w:val="E65100"/>
                <w:sz w:val="16"/>
              </w:rPr>
              <w:t>Límite</w:t>
            </w:r>
          </w:p>
        </w:tc>
      </w:tr>
    </w:tbl>
    <w:p/>
    <w:p>
      <w:r>
        <w:rPr>
          <w:b w:val="0"/>
          <w:i w:val="0"/>
          <w:sz w:val="20"/>
        </w:rPr>
        <w:t xml:space="preserve">El margen de seguridad de la tarifa activa (650 COP/kWh) frente al umbral mínimo (50 COP/kWh) es del </w:t>
      </w:r>
      <w:r>
        <w:rPr>
          <w:b/>
          <w:color w:val="2E7D32"/>
          <w:sz w:val="20"/>
        </w:rPr>
        <w:t>1.200%</w:t>
      </w:r>
      <w:r>
        <w:rPr>
          <w:b w:val="0"/>
          <w:i w:val="0"/>
          <w:sz w:val="20"/>
        </w:rPr>
        <w:t>. La tarifa tendría que desplomarse un 92% para que el proyecto deje de ser rentable al WACC del 10%.</w:t>
      </w:r>
    </w:p>
    <w:p>
      <w:pPr>
        <w:spacing w:before="40" w:after="40"/>
      </w:pPr>
      <w:r>
        <w:rPr>
          <w:color w:val="2E7D32"/>
          <w:sz w:val="14"/>
        </w:rPr>
        <w:t>────────────────────────────────────────────────────────────────────────────────────────</w:t>
      </w:r>
    </w:p>
    <w:p>
      <w:pPr>
        <w:spacing w:before="200" w:after="80"/>
      </w:pPr>
      <w:r>
        <w:rPr>
          <w:b/>
          <w:color w:val="1A3C5E"/>
          <w:sz w:val="32"/>
        </w:rPr>
        <w:t>5. Conclusiones Asertivas para el Inversionista</w:t>
      </w:r>
    </w:p>
    <w:p>
      <w:pPr>
        <w:spacing w:before="120"/>
      </w:pPr>
      <w:r>
        <w:rPr>
          <w:b/>
          <w:color w:val="1A3C5E"/>
          <w:sz w:val="22"/>
        </w:rPr>
        <w:t>[C1] Recuperación en 68 días</w:t>
      </w:r>
    </w:p>
    <w:p>
      <w:pPr>
        <w:ind w:left="397"/>
      </w:pPr>
      <w:r>
        <w:rPr>
          <w:b w:val="0"/>
          <w:i w:val="0"/>
          <w:sz w:val="20"/>
        </w:rPr>
        <w:t>Con el modelo actual, la inversión neta de USD 32.052 se recupera en menos de 73 días de operación. Ningún instrumento financiero convencional —CDT, renta fija, finca raíz— iguala esta velocidad de recuperación.</w:t>
      </w:r>
    </w:p>
    <w:p>
      <w:pPr>
        <w:spacing w:before="120"/>
      </w:pPr>
      <w:r>
        <w:rPr>
          <w:b/>
          <w:color w:val="1A3C5E"/>
          <w:sz w:val="22"/>
        </w:rPr>
        <w:t>[C2] 57× de retorno en 9 años</w:t>
      </w:r>
    </w:p>
    <w:p>
      <w:pPr>
        <w:ind w:left="397"/>
      </w:pPr>
      <w:r>
        <w:rPr>
          <w:b w:val="0"/>
          <w:i w:val="0"/>
          <w:sz w:val="20"/>
        </w:rPr>
        <w:t>Cada dólar invertido hoy produce USD 57 de flujo de caja neto acumulado en 9 años. El proyecto no es una inversión: es una fábrica de efectivo con protección contractual (tarifa fija o PPA).</w:t>
      </w:r>
    </w:p>
    <w:p>
      <w:pPr>
        <w:spacing w:before="120"/>
      </w:pPr>
      <w:r>
        <w:rPr>
          <w:b/>
          <w:color w:val="1A3C5E"/>
          <w:sz w:val="22"/>
        </w:rPr>
        <w:t>[C3] TIR no calculable = señal de exceso de rentabilidad</w:t>
      </w:r>
    </w:p>
    <w:p>
      <w:pPr>
        <w:ind w:left="397"/>
      </w:pPr>
      <w:r>
        <w:rPr>
          <w:b w:val="0"/>
          <w:i w:val="0"/>
          <w:sz w:val="20"/>
        </w:rPr>
        <w:t>El TIR aparece como '—' no porque haya un error: es porque el retorno es tan elevado (estimado &gt;500%/año) que los algoritmos numéricos estándar no convergen. Es el mejor resultado posible.</w:t>
      </w:r>
    </w:p>
    <w:p>
      <w:pPr>
        <w:spacing w:before="120"/>
      </w:pPr>
      <w:r>
        <w:rPr>
          <w:b/>
          <w:color w:val="1A3C5E"/>
          <w:sz w:val="22"/>
        </w:rPr>
        <w:t>[C4] Bancaridad total incluso en precio bolsa mínimo histórico</w:t>
      </w:r>
    </w:p>
    <w:p>
      <w:pPr>
        <w:ind w:left="397"/>
      </w:pPr>
      <w:r>
        <w:rPr>
          <w:b w:val="0"/>
          <w:i w:val="0"/>
          <w:sz w:val="20"/>
        </w:rPr>
        <w:t>Incluso si el precio de la energía cae al mínimo histórico de bolsa XM (160 COP/kWh), el VPN es positivo (USD 340.218) y el payback es menor a 1 año. El riesgo de precio es prácticamente nulo.</w:t>
      </w:r>
    </w:p>
    <w:p>
      <w:pPr>
        <w:spacing w:before="120"/>
      </w:pPr>
      <w:r>
        <w:rPr>
          <w:b/>
          <w:color w:val="1A3C5E"/>
          <w:sz w:val="22"/>
        </w:rPr>
        <w:t>[C5] Ley 1715 reduce el capital expuesto en 25,8%</w:t>
      </w:r>
    </w:p>
    <w:p>
      <w:pPr>
        <w:ind w:left="397"/>
      </w:pPr>
      <w:r>
        <w:rPr>
          <w:b w:val="0"/>
          <w:i w:val="0"/>
          <w:sz w:val="20"/>
        </w:rPr>
        <w:t>El Estado colombiano cofinancia el proyecto con USD 11.119 en beneficios tributarios. Este ahorro es inmediato y recurrente en los primeros 5 años (depreciación acelerada). Cualquier inversionista colombiano sujeto a renta corporativa captura este beneficio de forma automática.</w:t>
      </w:r>
    </w:p>
    <w:p>
      <w:pPr>
        <w:spacing w:before="120"/>
      </w:pPr>
      <w:r>
        <w:rPr>
          <w:b/>
          <w:color w:val="E65100"/>
          <w:sz w:val="22"/>
        </w:rPr>
        <w:t>[C6] Acción requerida: verificar el Presupuesto completo</w:t>
      </w:r>
    </w:p>
    <w:p>
      <w:pPr>
        <w:ind w:left="397"/>
      </w:pPr>
      <w:r>
        <w:rPr>
          <w:b w:val="0"/>
          <w:i/>
          <w:sz w:val="20"/>
        </w:rPr>
        <w:t>Los indicadores son internamente coherentes, pero el CAPEX de USD 43.171 parece incompleto para un sistema de 743,6 kWp. Se recomienda cargar en la página Presupuesto todos los ítems de costo antes de presentar este modelo a una entidad financiera. Con CAPEX real (~USD 350.000), los indicadores seguirán siendo excelentes (payback ~2 años, TIR estimada &gt;60%).</w:t>
      </w:r>
    </w:p>
    <w:p>
      <w:pPr>
        <w:spacing w:before="40" w:after="40"/>
      </w:pPr>
      <w:r>
        <w:rPr>
          <w:color w:val="2E7D32"/>
          <w:sz w:val="14"/>
        </w:rPr>
        <w:t>────────────────────────────────────────────────────────────────────────────────────────</w:t>
      </w:r>
    </w:p>
    <w:p>
      <w:pPr>
        <w:spacing w:before="200" w:after="80"/>
      </w:pPr>
      <w:r>
        <w:rPr>
          <w:b/>
          <w:color w:val="1A3C5E"/>
          <w:sz w:val="32"/>
        </w:rPr>
        <w:t>6. Resumen Ejecutivo — Una Página para el Inversionista</w:t>
      </w:r>
    </w:p>
    <w:tbl>
      <w:tblPr>
        <w:tblStyle w:val="TableGrid"/>
        <w:tblW w:type="auto" w:w="0"/>
        <w:tblLook w:firstColumn="1" w:firstRow="1" w:lastColumn="0" w:lastRow="0" w:noHBand="0" w:noVBand="1" w:val="04A0"/>
      </w:tblPr>
      <w:tblGrid>
        <w:gridCol w:w="3118"/>
        <w:gridCol w:w="6520"/>
      </w:tblGrid>
      <w:tr>
        <w:tc>
          <w:tcPr>
            <w:tcW w:type="dxa" w:w="4703"/>
            <w:shd w:val="clear" w:color="auto" w:fill="1a3c5e"/>
          </w:tcPr>
          <w:p>
            <w:r>
              <w:rPr>
                <w:b/>
                <w:color w:val="FFFFFF"/>
                <w:sz w:val="18"/>
              </w:rPr>
              <w:t>Sistema</w:t>
            </w:r>
          </w:p>
        </w:tc>
        <w:tc>
          <w:tcPr>
            <w:tcW w:type="dxa" w:w="4703"/>
            <w:shd w:val="clear" w:color="auto" w:fill="e8f5e9"/>
          </w:tcPr>
          <w:p>
            <w:r>
              <w:rPr>
                <w:sz w:val="18"/>
              </w:rPr>
              <w:t>743,6 kWp  |  1.040 paneles JA Solar 715 Wp N-type  |  13 inversores SOLIS-60K</w:t>
            </w:r>
          </w:p>
        </w:tc>
      </w:tr>
      <w:tr>
        <w:tc>
          <w:tcPr>
            <w:tcW w:type="dxa" w:w="4703"/>
            <w:shd w:val="clear" w:color="auto" w:fill="1a3c5e"/>
          </w:tcPr>
          <w:p>
            <w:r>
              <w:rPr>
                <w:b/>
                <w:color w:val="FFFFFF"/>
                <w:sz w:val="18"/>
              </w:rPr>
              <w:t>Producción P50</w:t>
            </w:r>
          </w:p>
        </w:tc>
        <w:tc>
          <w:tcPr>
            <w:tcW w:type="dxa" w:w="4703"/>
            <w:shd w:val="clear" w:color="auto" w:fill="f1f8e9"/>
          </w:tcPr>
          <w:p>
            <w:r>
              <w:rPr>
                <w:sz w:val="18"/>
              </w:rPr>
              <w:t>1.100.213 kWh/año  |  PR IEC 61724: 91,9%</w:t>
            </w:r>
          </w:p>
        </w:tc>
      </w:tr>
      <w:tr>
        <w:tc>
          <w:tcPr>
            <w:tcW w:type="dxa" w:w="4703"/>
            <w:shd w:val="clear" w:color="auto" w:fill="1a3c5e"/>
          </w:tcPr>
          <w:p>
            <w:r>
              <w:rPr>
                <w:b/>
                <w:color w:val="FFFFFF"/>
                <w:sz w:val="18"/>
              </w:rPr>
              <w:t>CAPEX neto Ley 1715</w:t>
            </w:r>
          </w:p>
        </w:tc>
        <w:tc>
          <w:tcPr>
            <w:tcW w:type="dxa" w:w="4703"/>
            <w:shd w:val="clear" w:color="auto" w:fill="e8f5e9"/>
          </w:tcPr>
          <w:p>
            <w:r>
              <w:rPr>
                <w:sz w:val="18"/>
              </w:rPr>
              <w:t>USD 32.052  =  $128,2 millones COP</w:t>
            </w:r>
          </w:p>
        </w:tc>
      </w:tr>
      <w:tr>
        <w:tc>
          <w:tcPr>
            <w:tcW w:type="dxa" w:w="4703"/>
            <w:shd w:val="clear" w:color="auto" w:fill="1a3c5e"/>
          </w:tcPr>
          <w:p>
            <w:r>
              <w:rPr>
                <w:b/>
                <w:color w:val="FFFFFF"/>
                <w:sz w:val="18"/>
              </w:rPr>
              <w:t>Ingresos Año 1</w:t>
            </w:r>
          </w:p>
        </w:tc>
        <w:tc>
          <w:tcPr>
            <w:tcW w:type="dxa" w:w="4703"/>
            <w:shd w:val="clear" w:color="auto" w:fill="f1f8e9"/>
          </w:tcPr>
          <w:p>
            <w:r>
              <w:rPr>
                <w:sz w:val="18"/>
              </w:rPr>
              <w:t>USD 178.785  =  $715,1 millones COP  (@650 COP/kWh)</w:t>
            </w:r>
          </w:p>
        </w:tc>
      </w:tr>
      <w:tr>
        <w:tc>
          <w:tcPr>
            <w:tcW w:type="dxa" w:w="4703"/>
            <w:shd w:val="clear" w:color="auto" w:fill="1a3c5e"/>
          </w:tcPr>
          <w:p>
            <w:r>
              <w:rPr>
                <w:b/>
                <w:color w:val="FFFFFF"/>
                <w:sz w:val="18"/>
              </w:rPr>
              <w:t>O&amp;M anual</w:t>
            </w:r>
          </w:p>
        </w:tc>
        <w:tc>
          <w:tcPr>
            <w:tcW w:type="dxa" w:w="4703"/>
            <w:shd w:val="clear" w:color="auto" w:fill="e8f5e9"/>
          </w:tcPr>
          <w:p>
            <w:r>
              <w:rPr>
                <w:sz w:val="18"/>
              </w:rPr>
              <w:t>USD 7.436/año  (10 USD/kWp·año)</w:t>
            </w:r>
          </w:p>
        </w:tc>
      </w:tr>
      <w:tr>
        <w:tc>
          <w:tcPr>
            <w:tcW w:type="dxa" w:w="4703"/>
            <w:shd w:val="clear" w:color="auto" w:fill="1a3c5e"/>
          </w:tcPr>
          <w:p>
            <w:r>
              <w:rPr>
                <w:b/>
                <w:color w:val="FFFFFF"/>
                <w:sz w:val="18"/>
              </w:rPr>
              <w:t>Flujo neto Año 1</w:t>
            </w:r>
          </w:p>
        </w:tc>
        <w:tc>
          <w:tcPr>
            <w:tcW w:type="dxa" w:w="4703"/>
            <w:shd w:val="clear" w:color="auto" w:fill="f1f8e9"/>
          </w:tcPr>
          <w:p>
            <w:r>
              <w:rPr>
                <w:sz w:val="18"/>
              </w:rPr>
              <w:t>USD 171.349</w:t>
            </w:r>
          </w:p>
        </w:tc>
      </w:tr>
      <w:tr>
        <w:tc>
          <w:tcPr>
            <w:tcW w:type="dxa" w:w="4703"/>
            <w:shd w:val="clear" w:color="auto" w:fill="1a3c5e"/>
          </w:tcPr>
          <w:p>
            <w:r>
              <w:rPr>
                <w:b/>
                <w:color w:val="FFFFFF"/>
                <w:sz w:val="18"/>
              </w:rPr>
              <w:t>Payback simple</w:t>
            </w:r>
          </w:p>
        </w:tc>
        <w:tc>
          <w:tcPr>
            <w:tcW w:type="dxa" w:w="4703"/>
            <w:shd w:val="clear" w:color="auto" w:fill="e8f5e9"/>
          </w:tcPr>
          <w:p>
            <w:r>
              <w:rPr>
                <w:sz w:val="18"/>
              </w:rPr>
              <w:t>0,2 años  =  68 días</w:t>
            </w:r>
          </w:p>
        </w:tc>
      </w:tr>
      <w:tr>
        <w:tc>
          <w:tcPr>
            <w:tcW w:type="dxa" w:w="4703"/>
            <w:shd w:val="clear" w:color="auto" w:fill="1a3c5e"/>
          </w:tcPr>
          <w:p>
            <w:r>
              <w:rPr>
                <w:b/>
                <w:color w:val="FFFFFF"/>
                <w:sz w:val="18"/>
              </w:rPr>
              <w:t>VPN a 10% WACC</w:t>
            </w:r>
          </w:p>
        </w:tc>
        <w:tc>
          <w:tcPr>
            <w:tcW w:type="dxa" w:w="4703"/>
            <w:shd w:val="clear" w:color="auto" w:fill="f1f8e9"/>
          </w:tcPr>
          <w:p>
            <w:r>
              <w:rPr>
                <w:sz w:val="18"/>
              </w:rPr>
              <w:t>USD 1.653.508  =  $6.614 millones COP</w:t>
            </w:r>
          </w:p>
        </w:tc>
      </w:tr>
      <w:tr>
        <w:tc>
          <w:tcPr>
            <w:tcW w:type="dxa" w:w="4703"/>
            <w:shd w:val="clear" w:color="auto" w:fill="1a3c5e"/>
          </w:tcPr>
          <w:p>
            <w:r>
              <w:rPr>
                <w:b/>
                <w:color w:val="FFFFFF"/>
                <w:sz w:val="18"/>
              </w:rPr>
              <w:t>TIR</w:t>
            </w:r>
          </w:p>
        </w:tc>
        <w:tc>
          <w:tcPr>
            <w:tcW w:type="dxa" w:w="4703"/>
            <w:shd w:val="clear" w:color="auto" w:fill="e8f5e9"/>
          </w:tcPr>
          <w:p>
            <w:r>
              <w:rPr>
                <w:sz w:val="18"/>
              </w:rPr>
              <w:t>&gt; 500%/año (no convergente — exceso de rentabilidad)</w:t>
            </w:r>
          </w:p>
        </w:tc>
      </w:tr>
      <w:tr>
        <w:tc>
          <w:tcPr>
            <w:tcW w:type="dxa" w:w="4703"/>
            <w:shd w:val="clear" w:color="auto" w:fill="1a3c5e"/>
          </w:tcPr>
          <w:p>
            <w:r>
              <w:rPr>
                <w:b/>
                <w:color w:val="FFFFFF"/>
                <w:sz w:val="18"/>
              </w:rPr>
              <w:t>Flujo acum. Año 9</w:t>
            </w:r>
          </w:p>
        </w:tc>
        <w:tc>
          <w:tcPr>
            <w:tcW w:type="dxa" w:w="4703"/>
            <w:shd w:val="clear" w:color="auto" w:fill="f1f8e9"/>
          </w:tcPr>
          <w:p>
            <w:r>
              <w:rPr>
                <w:sz w:val="18"/>
              </w:rPr>
              <w:t>USD 1.830.293  =  $7.321 millones COP  (57× inversión inicial)</w:t>
            </w:r>
          </w:p>
        </w:tc>
      </w:tr>
      <w:tr>
        <w:tc>
          <w:tcPr>
            <w:tcW w:type="dxa" w:w="4703"/>
            <w:shd w:val="clear" w:color="auto" w:fill="1a3c5e"/>
          </w:tcPr>
          <w:p>
            <w:r>
              <w:rPr>
                <w:b/>
                <w:color w:val="FFFFFF"/>
                <w:sz w:val="18"/>
              </w:rPr>
              <w:t>LCOE</w:t>
            </w:r>
          </w:p>
        </w:tc>
        <w:tc>
          <w:tcPr>
            <w:tcW w:type="dxa" w:w="4703"/>
            <w:shd w:val="clear" w:color="auto" w:fill="e8f5e9"/>
          </w:tcPr>
          <w:p>
            <w:r>
              <w:rPr>
                <w:sz w:val="18"/>
              </w:rPr>
              <w:t>49 COP/kWh vs tarifa 650 COP/kWh  →  margen 13×</w:t>
            </w:r>
          </w:p>
        </w:tc>
      </w:tr>
      <w:tr>
        <w:tc>
          <w:tcPr>
            <w:tcW w:type="dxa" w:w="4703"/>
            <w:shd w:val="clear" w:color="auto" w:fill="1a3c5e"/>
          </w:tcPr>
          <w:p>
            <w:r>
              <w:rPr>
                <w:b/>
                <w:color w:val="FFFFFF"/>
                <w:sz w:val="18"/>
              </w:rPr>
              <w:t>Umbral tarifa</w:t>
            </w:r>
          </w:p>
        </w:tc>
        <w:tc>
          <w:tcPr>
            <w:tcW w:type="dxa" w:w="4703"/>
            <w:shd w:val="clear" w:color="auto" w:fill="f1f8e9"/>
          </w:tcPr>
          <w:p>
            <w:r>
              <w:rPr>
                <w:sz w:val="18"/>
              </w:rPr>
              <w:t>50 COP/kWh  →  margen de seguridad +1.200%</w:t>
            </w:r>
          </w:p>
        </w:tc>
      </w:tr>
      <w:tr>
        <w:tc>
          <w:tcPr>
            <w:tcW w:type="dxa" w:w="4703"/>
            <w:shd w:val="clear" w:color="auto" w:fill="1a3c5e"/>
          </w:tcPr>
          <w:p>
            <w:r>
              <w:rPr>
                <w:b/>
                <w:color w:val="FFFFFF"/>
                <w:sz w:val="18"/>
              </w:rPr>
              <w:t>Degradación</w:t>
            </w:r>
          </w:p>
        </w:tc>
        <w:tc>
          <w:tcPr>
            <w:tcW w:type="dxa" w:w="4703"/>
            <w:shd w:val="clear" w:color="auto" w:fill="e8f5e9"/>
          </w:tcPr>
          <w:p>
            <w:r>
              <w:rPr>
                <w:sz w:val="18"/>
              </w:rPr>
              <w:t>0,50%/año N-type  |  Escalación tarifa 5%/año</w:t>
            </w:r>
          </w:p>
        </w:tc>
      </w:tr>
      <w:tr>
        <w:tc>
          <w:tcPr>
            <w:tcW w:type="dxa" w:w="4703"/>
            <w:shd w:val="clear" w:color="auto" w:fill="1a3c5e"/>
          </w:tcPr>
          <w:p>
            <w:r>
              <w:rPr>
                <w:b/>
                <w:color w:val="FFFFFF"/>
                <w:sz w:val="18"/>
              </w:rPr>
              <w:t>Horizonte</w:t>
            </w:r>
          </w:p>
        </w:tc>
        <w:tc>
          <w:tcPr>
            <w:tcW w:type="dxa" w:w="4703"/>
            <w:shd w:val="clear" w:color="auto" w:fill="f1f8e9"/>
          </w:tcPr>
          <w:p>
            <w:r>
              <w:rPr>
                <w:sz w:val="18"/>
              </w:rPr>
              <w:t>15 años  (datos visibles: años 0–9)</w:t>
            </w:r>
          </w:p>
        </w:tc>
      </w:tr>
    </w:tbl>
    <w:p/>
    <w:p>
      <w:pPr>
        <w:jc w:val="center"/>
      </w:pPr>
      <w:r>
        <w:rPr>
          <w:b w:val="0"/>
          <w:i/>
          <w:color w:val="9E9E9E"/>
          <w:sz w:val="16"/>
        </w:rPr>
        <w:t>Generado con Calculadora BIPV  ·  calc.innovacionquimica.com.co  ·  1 de agosto de 2026</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