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B5E20"/>
          <w:sz w:val="44"/>
        </w:rPr>
        <w:t>FICHA TÉCNICA</w:t>
      </w:r>
    </w:p>
    <w:p>
      <w:pPr>
        <w:spacing w:after="0"/>
        <w:jc w:val="center"/>
      </w:pPr>
      <w:r>
        <w:rPr>
          <w:b/>
          <w:color w:val="37474F"/>
          <w:sz w:val="26"/>
        </w:rPr>
        <w:t>Calculadora BIPV — Simulación fotovoltaica integrada en edificios y agrivoltaica</w:t>
      </w:r>
    </w:p>
    <w:p>
      <w:pPr>
        <w:spacing w:after="200"/>
        <w:jc w:val="center"/>
      </w:pPr>
      <w:r>
        <w:rPr>
          <w:b w:val="0"/>
          <w:color w:val="37474F"/>
          <w:sz w:val="19"/>
        </w:rPr>
        <w:t>Innovación Química  ·  calc.innovacionquimica.com.co  ·  Versión agosto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r>
              <w:rPr>
                <w:b/>
                <w:color w:val="0D47A1"/>
                <w:sz w:val="21"/>
              </w:rPr>
              <w:t xml:space="preserve">¿Por qué es diferente? </w:t>
            </w:r>
            <w:r>
              <w:rPr>
                <w:color w:val="0D47A1"/>
                <w:sz w:val="21"/>
              </w:rPr>
              <w:t>La única herramienta en Colombia que simula fachadas BIPV, cubiertas, pérgolas y granjas agrivoltaicas con física de nivel bancable: 8 760 horas de simulación real, curva IV completa del panel, sombras con diodos de bypass y análisis financiero en COP con TRM en línea. No es una regla de tres: es un laboratorio solar.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0D47A1"/>
          <w:sz w:val="26"/>
        </w:rPr>
        <w:t>1. Motores de cálculo — el corazón de la herramienta</w:t>
      </w:r>
    </w:p>
    <w:p>
      <w:pPr>
        <w:spacing w:after="40"/>
      </w:pPr>
      <w:r>
        <w:rPr>
          <w:b/>
          <w:color w:val="1B5E20"/>
          <w:sz w:val="21"/>
        </w:rPr>
        <w:t>☀️ Recurso solar hora a hora (8 760 h/año)</w:t>
      </w:r>
    </w:p>
    <w:p>
      <w:pPr>
        <w:spacing w:after="120"/>
      </w:pPr>
      <w:r>
        <w:rPr>
          <w:b w:val="0"/>
          <w:sz w:val="21"/>
        </w:rPr>
        <w:t>Consume archivos climáticos TMY/EPW reales de la ubicación y calcula la irradiancia en el plano exacto de instalación (POA) con el modelo de transposición Hay-Davies, incluyendo heatmap horario y diagrama de trayectoria solar. Para sistemas bifaciales y agrivoltaicos aplica el modelo infinite_sheds (pvlib), que captura la luz que llega a la cara trasera del panel según la separación real entre filas (GCR).</w:t>
      </w:r>
    </w:p>
    <w:p>
      <w:pPr>
        <w:spacing w:after="40"/>
      </w:pPr>
      <w:r>
        <w:rPr>
          <w:b/>
          <w:color w:val="1B5E20"/>
          <w:sz w:val="21"/>
        </w:rPr>
        <w:t>⚡ Motor IV — curva corriente-voltaje real del panel</w:t>
      </w:r>
    </w:p>
    <w:p>
      <w:pPr>
        <w:spacing w:after="120"/>
      </w:pPr>
      <w:r>
        <w:rPr>
          <w:b w:val="0"/>
          <w:sz w:val="21"/>
        </w:rPr>
        <w:t>Mientras otras herramientas multiplican Wp × horas de sol, la Calculadora resuelve el modelo de diodo único del panel en cada condición de irradiancia y temperatura: Voc, Isc, punto de máxima potencia y coeficientes térmicos reales de la ficha técnica. Se activa automáticamente cuando el panel tiene ficha completa e incluye defensa contra el error más común del mercado: el conteo de celdas en paneles half-cut (verificación Ns ≈ Voc/0.74).</w:t>
      </w:r>
    </w:p>
    <w:p>
      <w:pPr>
        <w:spacing w:after="40"/>
      </w:pPr>
      <w:r>
        <w:rPr>
          <w:b/>
          <w:color w:val="1B5E20"/>
          <w:sz w:val="21"/>
        </w:rPr>
        <w:t>🌗 Sombras con diodos de bypass — el diferencial técnico</w:t>
      </w:r>
    </w:p>
    <w:p>
      <w:pPr>
        <w:spacing w:after="120"/>
      </w:pPr>
      <w:r>
        <w:rPr>
          <w:b w:val="0"/>
          <w:sz w:val="21"/>
        </w:rPr>
        <w:t>En BIPV urbano la sombra parcial es la regla, no la excepción. El motor de mismatch simula el comportamiento eléctrico real del string bajo sombra: qué diodos de bypass se activan, cuánta potencia se recupera y cuánta se pierde de verdad — no un descuento porcentual arbitrario. Se alimenta de la Calculadora de Sombreado 3D (factor de sombra horario por punto de análisis).</w:t>
      </w:r>
    </w:p>
    <w:p>
      <w:pPr>
        <w:spacing w:after="40"/>
      </w:pPr>
      <w:r>
        <w:rPr>
          <w:b/>
          <w:color w:val="1B5E20"/>
          <w:sz w:val="21"/>
        </w:rPr>
        <w:t>🔬 Motor Óptico BIPV</w:t>
      </w:r>
    </w:p>
    <w:p>
      <w:pPr>
        <w:spacing w:after="120"/>
      </w:pPr>
      <w:r>
        <w:rPr>
          <w:b w:val="0"/>
          <w:sz w:val="21"/>
        </w:rPr>
        <w:t>Pérdidas que solo existen en integración arquitectónica y que las herramientas genéricas ignoran: reflexión por ángulo de incidencia (IAM), suciedad (soiling) y el efecto térmico del confinamiento en fachada, donde el panel opera más caliente que en un rack ventilado.</w:t>
      </w:r>
    </w:p>
    <w:p>
      <w:pPr>
        <w:spacing w:after="40"/>
      </w:pPr>
      <w:r>
        <w:rPr>
          <w:b/>
          <w:color w:val="1B5E20"/>
          <w:sz w:val="21"/>
        </w:rPr>
        <w:t>🌱 Agrivoltaica — cultivo y energía en el mismo terreno</w:t>
      </w:r>
    </w:p>
    <w:p>
      <w:pPr>
        <w:spacing w:after="120"/>
      </w:pPr>
      <w:r>
        <w:rPr>
          <w:b w:val="0"/>
          <w:sz w:val="21"/>
        </w:rPr>
        <w:t>Factor de ocupación configurable (5–100%): la herramienta dimensiona paneles, presupuesto y USD/m² sobre el área útil, sincroniza la separación entre filas (GCR) con ese factor y lo muestra en una Vista 3D con las filas elevadas a 3 m sobre el cultivo. Diseñada y validada con proyectos reales de cultivo bajo paneles en Colombia.</w:t>
      </w:r>
    </w:p>
    <w:p>
      <w:pPr>
        <w:spacing w:after="80"/>
      </w:pPr>
      <w:r>
        <w:rPr>
          <w:b/>
          <w:color w:val="0D47A1"/>
          <w:sz w:val="26"/>
        </w:rPr>
        <w:t>2. Cadena de simulación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40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Modelo / método</w:t>
            </w:r>
          </w:p>
        </w:tc>
        <w:tc>
          <w:tcPr>
            <w:tcW w:type="dxa" w:w="340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Lo que garantiza</w:t>
            </w:r>
          </w:p>
        </w:tc>
      </w:tr>
      <w:tr>
        <w:tc>
          <w:tcPr>
            <w:tcW w:type="dxa" w:w="3400"/>
          </w:tcPr>
          <w:p>
            <w:r>
              <w:rPr>
                <w:b/>
                <w:sz w:val="19"/>
              </w:rPr>
              <w:t>Recurso solar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TMY/EPW + Hay-Davies + infinite_sheds (pvlib)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Irradiancia real del sitio, no promedios nacionales</w:t>
            </w:r>
          </w:p>
        </w:tc>
      </w:tr>
      <w:tr>
        <w:tc>
          <w:tcPr>
            <w:tcW w:type="dxa" w:w="3400"/>
            <w:shd w:val="clear" w:color="auto" w:fill="E8F5E9"/>
          </w:tcPr>
          <w:p>
            <w:r>
              <w:rPr>
                <w:b/>
                <w:sz w:val="19"/>
              </w:rPr>
              <w:t>Óptica BIPV</w:t>
            </w:r>
          </w:p>
        </w:tc>
        <w:tc>
          <w:tcPr>
            <w:tcW w:type="dxa" w:w="3400"/>
            <w:shd w:val="clear" w:color="auto" w:fill="E8F5E9"/>
          </w:tcPr>
          <w:p>
            <w:r>
              <w:rPr>
                <w:sz w:val="19"/>
              </w:rPr>
              <w:t>IAM + soiling + térmica confinada</w:t>
            </w:r>
          </w:p>
        </w:tc>
        <w:tc>
          <w:tcPr>
            <w:tcW w:type="dxa" w:w="3400"/>
            <w:shd w:val="clear" w:color="auto" w:fill="E8F5E9"/>
          </w:tcPr>
          <w:p>
            <w:r>
              <w:rPr>
                <w:sz w:val="19"/>
              </w:rPr>
              <w:t>Pérdidas de fachada que otros ignoran</w:t>
            </w:r>
          </w:p>
        </w:tc>
      </w:tr>
      <w:tr>
        <w:tc>
          <w:tcPr>
            <w:tcW w:type="dxa" w:w="3400"/>
          </w:tcPr>
          <w:p>
            <w:r>
              <w:rPr>
                <w:b/>
                <w:sz w:val="19"/>
              </w:rPr>
              <w:t>Eléctrica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Diodo único (curva IV) + mismatch con bypass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Producción creíble bajo sombra parcial</w:t>
            </w:r>
          </w:p>
        </w:tc>
      </w:tr>
      <w:tr>
        <w:tc>
          <w:tcPr>
            <w:tcW w:type="dxa" w:w="3400"/>
            <w:shd w:val="clear" w:color="auto" w:fill="E8F5E9"/>
          </w:tcPr>
          <w:p>
            <w:r>
              <w:rPr>
                <w:b/>
                <w:sz w:val="19"/>
              </w:rPr>
              <w:t>Dimensionamiento</w:t>
            </w:r>
          </w:p>
        </w:tc>
        <w:tc>
          <w:tcPr>
            <w:tcW w:type="dxa" w:w="3400"/>
            <w:shd w:val="clear" w:color="auto" w:fill="E8F5E9"/>
          </w:tcPr>
          <w:p>
            <w:r>
              <w:rPr>
                <w:sz w:val="19"/>
              </w:rPr>
              <w:t>Emparejamiento automático panel-inversor (catálogo Growatt/Deye)</w:t>
            </w:r>
          </w:p>
        </w:tc>
        <w:tc>
          <w:tcPr>
            <w:tcW w:type="dxa" w:w="3400"/>
            <w:shd w:val="clear" w:color="auto" w:fill="E8F5E9"/>
          </w:tcPr>
          <w:p>
            <w:r>
              <w:rPr>
                <w:sz w:val="19"/>
              </w:rPr>
              <w:t>Ventanas MPPT y ratios DC/AC verificados</w:t>
            </w:r>
          </w:p>
        </w:tc>
      </w:tr>
      <w:tr>
        <w:tc>
          <w:tcPr>
            <w:tcW w:type="dxa" w:w="3400"/>
          </w:tcPr>
          <w:p>
            <w:r>
              <w:rPr>
                <w:b/>
                <w:sz w:val="19"/>
              </w:rPr>
              <w:t>Producción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8 760 h con PR resultante, no asumido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E_ac anual defendible ante un banco</w:t>
            </w:r>
          </w:p>
        </w:tc>
      </w:tr>
      <w:tr>
        <w:tc>
          <w:tcPr>
            <w:tcW w:type="dxa" w:w="3400"/>
            <w:shd w:val="clear" w:color="auto" w:fill="E8F5E9"/>
          </w:tcPr>
          <w:p>
            <w:r>
              <w:rPr>
                <w:b/>
                <w:sz w:val="19"/>
              </w:rPr>
              <w:t>Baterías</w:t>
            </w:r>
          </w:p>
        </w:tc>
        <w:tc>
          <w:tcPr>
            <w:tcW w:type="dxa" w:w="3400"/>
            <w:shd w:val="clear" w:color="auto" w:fill="E8F5E9"/>
          </w:tcPr>
          <w:p>
            <w:r>
              <w:rPr>
                <w:sz w:val="19"/>
              </w:rPr>
              <w:t>Balance horario consumo vs generación</w:t>
            </w:r>
          </w:p>
        </w:tc>
        <w:tc>
          <w:tcPr>
            <w:tcW w:type="dxa" w:w="3400"/>
            <w:shd w:val="clear" w:color="auto" w:fill="E8F5E9"/>
          </w:tcPr>
          <w:p>
            <w:r>
              <w:rPr>
                <w:sz w:val="19"/>
              </w:rPr>
              <w:t>Autoconsumo y respaldo con catálogo real</w:t>
            </w:r>
          </w:p>
        </w:tc>
      </w:tr>
      <w:tr>
        <w:tc>
          <w:tcPr>
            <w:tcW w:type="dxa" w:w="3400"/>
          </w:tcPr>
          <w:p>
            <w:r>
              <w:rPr>
                <w:b/>
                <w:sz w:val="19"/>
              </w:rPr>
              <w:t>Financiero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Flujo de caja en COP, TRM en línea, precio real del inversor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TIR, VPN, payback y LCOE bancables</w:t>
            </w:r>
          </w:p>
        </w:tc>
      </w:tr>
      <w:tr>
        <w:tc>
          <w:tcPr>
            <w:tcW w:type="dxa" w:w="3400"/>
            <w:shd w:val="clear" w:color="auto" w:fill="E8F5E9"/>
          </w:tcPr>
          <w:p>
            <w:r>
              <w:rPr>
                <w:b/>
                <w:sz w:val="19"/>
              </w:rPr>
              <w:t>Entregables</w:t>
            </w:r>
          </w:p>
        </w:tc>
        <w:tc>
          <w:tcPr>
            <w:tcW w:type="dxa" w:w="3400"/>
            <w:shd w:val="clear" w:color="auto" w:fill="E8F5E9"/>
          </w:tcPr>
          <w:p>
            <w:r>
              <w:rPr>
                <w:sz w:val="19"/>
              </w:rPr>
              <w:t>Presupuesto bancable + Reporte PDF automático</w:t>
            </w:r>
          </w:p>
        </w:tc>
        <w:tc>
          <w:tcPr>
            <w:tcW w:type="dxa" w:w="3400"/>
            <w:shd w:val="clear" w:color="auto" w:fill="E8F5E9"/>
          </w:tcPr>
          <w:p>
            <w:r>
              <w:rPr>
                <w:sz w:val="19"/>
              </w:rPr>
              <w:t>Documento listo para cliente y banco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8F5E9"/>
          </w:tcPr>
          <w:p>
            <w:r>
              <w:rPr>
                <w:b/>
                <w:color w:val="1B5E20"/>
                <w:sz w:val="21"/>
              </w:rPr>
              <w:t xml:space="preserve">🎯 Argumento clave: </w:t>
            </w:r>
            <w:r>
              <w:rPr>
                <w:color w:val="1B5E20"/>
                <w:sz w:val="21"/>
              </w:rPr>
              <w:t>El PR (performance ratio) no se asume: se obtiene. La cadena óptica-eléctrica-térmica produce el PR como resultado físico del sitio y la tecnología — el número que un evaluador técnico puede auditar capa por capa.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0D47A1"/>
          <w:sz w:val="26"/>
        </w:rPr>
        <w:t>3. Catálogos inteligentes — cero digitación manual</w:t>
      </w:r>
    </w:p>
    <w:p>
      <w:pPr>
        <w:spacing w:after="120"/>
      </w:pPr>
      <w:r>
        <w:rPr>
          <w:b w:val="0"/>
          <w:sz w:val="21"/>
        </w:rPr>
        <w:t>Los catálogos de paneles, inversores y baterías se alimentan directamente desde la ficha técnica PDF del fabricante: un extractor con banco de regresión de 84 casos reales lee Voc, Isc, coeficientes térmicos, número de celdas, bifacialidad y ventanas MPPT, y un validador físico rechaza valores imposibles antes de que contaminen la simulación. Soporta fichas multi-modelo (un PDF, varios equipos).</w:t>
      </w:r>
    </w:p>
    <w:p>
      <w:pPr>
        <w:spacing w:after="80"/>
      </w:pPr>
      <w:r>
        <w:rPr>
          <w:b/>
          <w:color w:val="0D47A1"/>
          <w:sz w:val="26"/>
        </w:rPr>
        <w:t>4. Especificaciones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510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9"/>
              </w:rPr>
              <w:t>Tipos de instalación</w:t>
            </w:r>
          </w:p>
        </w:tc>
        <w:tc>
          <w:tcPr>
            <w:tcW w:type="dxa" w:w="5100"/>
          </w:tcPr>
          <w:p>
            <w:r>
              <w:rPr>
                <w:sz w:val="19"/>
              </w:rPr>
              <w:t>Fachada BIPV, techo inclinado, techo plano, pérgola, marquesina, granja fotovoltaica/agrivoltaica</w:t>
            </w:r>
          </w:p>
        </w:tc>
      </w:tr>
      <w:tr>
        <w:tc>
          <w:tcPr>
            <w:tcW w:type="dxa" w:w="5100"/>
            <w:shd w:val="clear" w:color="auto" w:fill="E8F5E9"/>
          </w:tcPr>
          <w:p>
            <w:r>
              <w:rPr>
                <w:b/>
                <w:sz w:val="19"/>
              </w:rPr>
              <w:t>Resolución temporal</w:t>
            </w:r>
          </w:p>
        </w:tc>
        <w:tc>
          <w:tcPr>
            <w:tcW w:type="dxa" w:w="5100"/>
            <w:shd w:val="clear" w:color="auto" w:fill="E8F5E9"/>
          </w:tcPr>
          <w:p>
            <w:r>
              <w:rPr>
                <w:sz w:val="19"/>
              </w:rPr>
              <w:t>Horaria — 8 760 horas por año típico meteorológico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9"/>
              </w:rPr>
              <w:t>Multi-superficie</w:t>
            </w:r>
          </w:p>
        </w:tc>
        <w:tc>
          <w:tcPr>
            <w:tcW w:type="dxa" w:w="5100"/>
          </w:tcPr>
          <w:p>
            <w:r>
              <w:rPr>
                <w:sz w:val="19"/>
              </w:rPr>
              <w:t>Combina fachada + techo + pérgola en un solo sistema (Vista 3D)</w:t>
            </w:r>
          </w:p>
        </w:tc>
      </w:tr>
      <w:tr>
        <w:tc>
          <w:tcPr>
            <w:tcW w:type="dxa" w:w="5100"/>
            <w:shd w:val="clear" w:color="auto" w:fill="E8F5E9"/>
          </w:tcPr>
          <w:p>
            <w:r>
              <w:rPr>
                <w:b/>
                <w:sz w:val="19"/>
              </w:rPr>
              <w:t>Moneda y mercado</w:t>
            </w:r>
          </w:p>
        </w:tc>
        <w:tc>
          <w:tcPr>
            <w:tcW w:type="dxa" w:w="5100"/>
            <w:shd w:val="clear" w:color="auto" w:fill="E8F5E9"/>
          </w:tcPr>
          <w:p>
            <w:r>
              <w:rPr>
                <w:sz w:val="19"/>
              </w:rPr>
              <w:t>COP con TRM en línea; costos de referencia del mercado colombiano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9"/>
              </w:rPr>
              <w:t>Entregables</w:t>
            </w:r>
          </w:p>
        </w:tc>
        <w:tc>
          <w:tcPr>
            <w:tcW w:type="dxa" w:w="5100"/>
          </w:tcPr>
          <w:p>
            <w:r>
              <w:rPr>
                <w:sz w:val="19"/>
              </w:rPr>
              <w:t>Reporte PDF ejecutivo, presupuesto bancable, cotización exportable</w:t>
            </w:r>
          </w:p>
        </w:tc>
      </w:tr>
      <w:tr>
        <w:tc>
          <w:tcPr>
            <w:tcW w:type="dxa" w:w="5100"/>
            <w:shd w:val="clear" w:color="auto" w:fill="E8F5E9"/>
          </w:tcPr>
          <w:p>
            <w:r>
              <w:rPr>
                <w:b/>
                <w:sz w:val="19"/>
              </w:rPr>
              <w:t>Acceso</w:t>
            </w:r>
          </w:p>
        </w:tc>
        <w:tc>
          <w:tcPr>
            <w:tcW w:type="dxa" w:w="5100"/>
            <w:shd w:val="clear" w:color="auto" w:fill="E8F5E9"/>
          </w:tcPr>
          <w:p>
            <w:r>
              <w:rPr>
                <w:sz w:val="19"/>
              </w:rPr>
              <w:t>Aplicación web — sin instalación (calc.innovacionquimica.com.co)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9"/>
              </w:rPr>
              <w:t>Base científica</w:t>
            </w:r>
          </w:p>
        </w:tc>
        <w:tc>
          <w:tcPr>
            <w:tcW w:type="dxa" w:w="5100"/>
          </w:tcPr>
          <w:p>
            <w:r>
              <w:rPr>
                <w:sz w:val="19"/>
              </w:rPr>
              <w:t>pvlib (estándar de la industria fotovoltaica, NREL) + modelos propios BIPV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CEFF1"/>
          </w:tcPr>
          <w:p>
            <w:r>
              <w:rPr>
                <w:b/>
                <w:color w:val="37474F"/>
                <w:sz w:val="21"/>
              </w:rPr>
              <w:t xml:space="preserve">👥 </w:t>
            </w:r>
            <w:r>
              <w:rPr>
                <w:color w:val="37474F"/>
                <w:sz w:val="21"/>
              </w:rPr>
              <w:t>Ideal para: desarrolladores inmobiliarios, arquitectos, EPCs, evaluadores de banca verde y proyectos agrivoltaicos que necesitan cifras defendibles — no promesas.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b w:val="0"/>
          <w:color w:val="37474F"/>
          <w:sz w:val="17"/>
        </w:rPr>
        <w:t>Ficha técnica — agosto de 2026 · Innovación Química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