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B4F72"/>
          <w:sz w:val="36"/>
        </w:rPr>
        <w:t>FICHA TÉCNICA PRELIMINAR</w:t>
      </w:r>
    </w:p>
    <w:p>
      <w:pPr>
        <w:spacing w:after="40"/>
        <w:jc w:val="center"/>
      </w:pPr>
      <w:r>
        <w:rPr>
          <w:b/>
          <w:i w:val="0"/>
          <w:sz w:val="24"/>
        </w:rPr>
        <w:t>Proyecto Agrivoltaico Urabá — 220,32 kWp DC</w:t>
      </w:r>
    </w:p>
    <w:p>
      <w:pPr>
        <w:spacing w:after="240"/>
        <w:jc w:val="center"/>
      </w:pPr>
      <w:r>
        <w:rPr>
          <w:b w:val="0"/>
          <w:i w:val="0"/>
          <w:color w:val="555555"/>
          <w:sz w:val="19"/>
        </w:rPr>
        <w:t>Versión 2 · configuración eléctrica optimizada por simulación horaria · agosto 2026</w:t>
      </w:r>
    </w:p>
    <w:p>
      <w:pPr>
        <w:spacing w:before="280" w:after="120"/>
      </w:pPr>
      <w:r>
        <w:rPr>
          <w:b/>
          <w:color w:val="1B4F72"/>
          <w:sz w:val="28"/>
        </w:rPr>
        <w:t>1. Sitio, generador FV y estructura</w:t>
      </w:r>
    </w:p>
    <w:p>
      <w:pPr>
        <w:spacing w:before="200" w:after="80"/>
      </w:pPr>
      <w:r>
        <w:rPr>
          <w:b/>
          <w:color w:val="1E8449"/>
          <w:sz w:val="23"/>
        </w:rPr>
        <w:t>Emplazamiento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Ubicación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Apartadó, Urabá antioqueño, Colombia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Coordenadas / altitud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7.884° N, −76.635° O · 30 m s.n.m.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Terreno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3.200 m² (32 m N-S × 100 m E-O)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Uso del suelo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Agrivoltaico — cultivo bajo y entre paneles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Viento / nieve de diseño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30 m/s (por confirmar NSR-10) · 0 kN/m²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8449"/>
          <w:sz w:val="23"/>
        </w:rPr>
        <w:t>Generador fotovoltaico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Módulo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JA Solar JAM66D46-720/LB · bifacial n-type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Potencia / cantidad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720 Wp × 306 módulos = 220,32 kWp DC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Dimensiones / peso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2384 × 1303 × 33 mm · ~38,5 kg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Degradación garantizada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≤1% año 1 · ≤0,4%/año · ~87,8% a 30 años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8449"/>
          <w:sz w:val="23"/>
        </w:rPr>
        <w:t>Configuración eléctrica preliminar (optimizada por simulación)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Arreglo DC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17 strings de 18 módulos (1 por matriz)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Tensión de string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Voc ≈ 882 V · Vmp ≈ 738 V (límite de equipo 1.100–1.500 V)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Corriente por string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Imp ≈ 17,6 A → se requieren entradas MPPT ≥18 A, con 1 string por tracker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Inversores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2 × 80–90 kW AC (clase string, 1.500 V)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Ratio DC/AC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1,22–1,38 · clipping simulado ≤0,24%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Candidatos verificados (~100 kW)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Huawei SUN2000-100KTL-M1 · Sungrow SG110CX · Growatt MAX 100KTL3 LV — penalización &lt;1% frente al óptimo de 80–90 kW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555555"/>
          <w:sz w:val="18"/>
        </w:rPr>
        <w:t>El barrido horario de ratio DC/AC mostró que el pico real del campo es ~192 kW AC; 2×80–90 kW maximiza la TIR y minimiza el LCOE sin pérdida apreciable de energía. La redundancia de 2 equipos conserva ~50% de la producción ante la falla de uno.</w:t>
      </w:r>
    </w:p>
    <w:p>
      <w:pPr>
        <w:spacing w:before="200" w:after="80"/>
      </w:pPr>
      <w:r>
        <w:rPr>
          <w:b/>
          <w:color w:val="1E8449"/>
          <w:sz w:val="23"/>
        </w:rPr>
        <w:t>Estructura y disposición agrivoltaica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Matrices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17 matrices de 2×9 módulos apaisados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Altura libre bajo panel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3,0 m (maquinaria y cultivo)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Inclinación / orientación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10° · azimut Sur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Factor de ocupación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30% — corredores de cultivo ~4 m, pasillos de 2,8 m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Cimentación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Tornillo de tierra + acero ZAM (requiere estudio de suelo)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/>
      </w:pPr>
      <w:r>
        <w:rPr>
          <w:b/>
          <w:color w:val="1B4F72"/>
          <w:sz w:val="28"/>
        </w:rPr>
        <w:t>2. Producción estimada (simulación horaria)</w:t>
      </w:r>
    </w:p>
    <w:p>
      <w:pPr>
        <w:spacing w:before="200" w:after="80"/>
      </w:pPr>
      <w:r>
        <w:rPr>
          <w:b/>
          <w:color w:val="1E8449"/>
          <w:sz w:val="23"/>
        </w:rPr>
        <w:t>Método</w:t>
      </w:r>
    </w:p>
    <w:p>
      <w:pPr>
        <w:spacing w:after="120"/>
      </w:pPr>
      <w:r>
        <w:rPr>
          <w:b w:val="0"/>
          <w:i w:val="0"/>
        </w:rPr>
        <w:t>Simulación horaria de 8.760 horas con año meteorológico típico PVGIS para el punto exacto (7.884, −76.635): transposición Hay-Davies al plano de 10° Sur, temperatura de celda por modelo Faiman, coeficiente de potencia −0,30%/°C, ganancia bifacial +8%, pérdidas DC combinadas del 8% (soiling, mismatch, cableado), eficiencia de inversor 98,2–98,4% y recorte (clipping) AC real.</w:t>
      </w:r>
    </w:p>
    <w:p>
      <w:pPr>
        <w:spacing w:after="120"/>
      </w:pPr>
      <w:r>
        <w:rPr>
          <w:b w:val="0"/>
          <w:i/>
        </w:rPr>
        <w:t>Esta cifra reemplaza la estimación anterior por método HSP×PR (368 MWh/año), que resultaba optimista para la nubosidad real del Urabá. La cifra de simulación horaria es la defendible ante banca y comités de inversión.</w:t>
      </w:r>
    </w:p>
    <w:p>
      <w:pPr>
        <w:spacing w:before="200" w:after="80"/>
      </w:pPr>
      <w:r>
        <w:rPr>
          <w:b/>
          <w:color w:val="1E8449"/>
          <w:sz w:val="23"/>
        </w:rPr>
        <w:t>Resultados anuales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Energía AC año 1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278.600 kWh/año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Yield específico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1.265 kWh/kWp·año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Pico AC real del campo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192 kW (nunca alcanza los 220,32 kWp nominales)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Clipping con 2×80 kW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0,24% (≈ 670 kWh/año)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Producción año 25 (con degradación)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253.000 kWh/año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Energía acumulada en 25 años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6,65 GWh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8449"/>
          <w:sz w:val="23"/>
        </w:rPr>
        <w:t>Sinergia agrivoltaica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Suelo libre para cultivo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2.250 m² (70% del terreno)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Ganancia bifacial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+8% por albedo del cultivo y altura de montaje de 3,0 m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555555"/>
          <w:sz w:val="18"/>
        </w:rPr>
        <w:t>Nota: la cifra contractual definitiva debe salir de la Calculadora BIPV (Motor IV con la curva del módulo + diodos de bypass si hay sombras) una vez cerrado el layout final.</w:t>
      </w:r>
    </w:p>
    <w:p>
      <w:r>
        <w:br w:type="page"/>
      </w:r>
    </w:p>
    <w:p>
      <w:pPr>
        <w:spacing w:before="280" w:after="120"/>
      </w:pPr>
      <w:r>
        <w:rPr>
          <w:b/>
          <w:color w:val="1B4F72"/>
          <w:sz w:val="28"/>
        </w:rPr>
        <w:t>3. Estimación financiera preliminar</w:t>
      </w:r>
    </w:p>
    <w:p>
      <w:pPr>
        <w:spacing w:before="200" w:after="80"/>
      </w:pPr>
      <w:r>
        <w:rPr>
          <w:b/>
          <w:color w:val="1E8449"/>
          <w:sz w:val="23"/>
        </w:rPr>
        <w:t>Supuestos declarados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TRM / tarifa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COP 4.000/USD · 950 COP/kWh (EPM, 100% autoconsumo)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Vida útil / degradación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25 años · 0,4% anual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OPEX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10 USD/kWp·año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Precios de inversor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Referencia de mercado — pendiente cotización local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8449"/>
          <w:sz w:val="23"/>
        </w:rPr>
        <w:t>Inversión (sin BOM oficial — rangos de mercado)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Costos duros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0,68 USD/Wp — módulos, estructura elevada 3 m, 2 inversores 80–90 kW, BOS y montaje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Costos blandos (17%)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Ingeniería, trámites UPME/RETIE, interventoría e imprevistos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CAPEX central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USD 176.300 ≈ 0,80 USD/Wp ≈ COP 705 millones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Rango (±16%)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USD 148.000 – 205.000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8449"/>
          <w:sz w:val="23"/>
        </w:rPr>
        <w:t>Indicadores (simulación horaria + flujo de caja a 25 años)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Ahorro año 1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COP 264,7 millones (278.600 kWh × 950 COP)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TIR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35,8%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VPN (tasa 10%)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USD 385.000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Payback simple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2,8 años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LCOE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0,080 USD/kWh ≈ 321 COP/kWh (vs tarifa de 950)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8449"/>
          <w:sz w:val="23"/>
        </w:rPr>
        <w:t>Beneficios Ley 1715/2014 (no incluidos arriba — mejoran los indicadores)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Art. 11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Deducción del 50% de la inversión en el impuesto de renta (hasta 15 años)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Art. 12 / 13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Exclusión de IVA y exención arancelaria de equipos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Art. 14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Depreciación acelerada hasta 33,3% anual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555555"/>
          <w:sz w:val="18"/>
        </w:rPr>
        <w:t>Los indicadores asumen 100% de autoconsumo; si parte de la energía se exporta como excedentes (Res. CREG 174/2021), el retorno se reduce según la tarifa de venta. Pendientes para pasar a ingeniería: estudio de suelo (tornillo de tierra), confirmación de viento NSR-10 y cotizaciones reales de inversores de 80–90 kW y del BOM completo.</w:t>
      </w:r>
    </w:p>
    <w:p>
      <w:pPr>
        <w:spacing w:after="120"/>
      </w:pPr>
      <w:r>
        <w:rPr>
          <w:b w:val="0"/>
          <w:i w:val="0"/>
        </w:rPr>
      </w:r>
    </w:p>
    <w:p>
      <w:pPr>
        <w:spacing w:after="120"/>
        <w:jc w:val="center"/>
      </w:pPr>
      <w:r>
        <w:rPr>
          <w:b w:val="0"/>
          <w:i w:val="0"/>
          <w:color w:val="555555"/>
          <w:sz w:val="17"/>
        </w:rPr>
        <w:t>Documento preliminar para cotización — no constituye ingeniería de detalle · Innovación Química · agosto 2026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