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60"/>
          <w:sz w:val="44"/>
        </w:rPr>
        <w:t>Calculadora BIPV vs. PVsyst</w:t>
      </w:r>
    </w:p>
    <w:p>
      <w:pPr>
        <w:jc w:val="center"/>
      </w:pPr>
      <w:r>
        <w:rPr>
          <w:i/>
          <w:color w:val="006BB6"/>
          <w:sz w:val="22"/>
        </w:rPr>
        <w:t>Evaluación actualizada — agosto 2026</w:t>
      </w:r>
    </w:p>
    <w:p>
      <w:pPr>
        <w:jc w:val="center"/>
      </w:pPr>
      <w:r>
        <w:rPr>
          <w:color w:val="888888"/>
          <w:sz w:val="18"/>
        </w:rPr>
        <w:t>Innovación Química / SolTech Energy  ·  calc.innovacionquimica.com.co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03060"/>
          <w:sz w:val="32"/>
        </w:rPr>
        <w:t>1. Qué cambió desde la evaluación anterior</w:t>
      </w:r>
    </w:p>
    <w:p>
      <w:pPr>
        <w:spacing w:before="20" w:after="60"/>
      </w:pPr>
      <w:r>
        <w:rPr>
          <w:b w:val="0"/>
          <w:i w:val="0"/>
          <w:sz w:val="20"/>
        </w:rPr>
        <w:t>La evaluación original (julio 2026) identificó dos brechas CRÍTICAS (🔴) y cuatro IMPORTANTES (🟡) frente a PVsyst. En los meses siguientes se desarrollaron los módulos que cierran o reducen cuatro de esas seis brechas. Este documento actualiza los puntajes e identifica dónde la calculadora ya supera a PVsyst y dónde la brecha sigue abierta.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03060"/>
          <w:sz w:val="32"/>
        </w:rPr>
        <w:t>2. Estado de las brechas — evaluación anterior vs. hoy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003060"/>
          </w:tcPr>
          <w:p>
            <w:r>
              <w:rPr>
                <w:b/>
                <w:color w:val="FFFFFF"/>
                <w:sz w:val="18"/>
              </w:rPr>
              <w:t>Capacidad PVsyst</w:t>
            </w:r>
          </w:p>
        </w:tc>
        <w:tc>
          <w:tcPr>
            <w:tcW w:type="dxa" w:w="1587"/>
            <w:shd w:val="clear" w:color="auto" w:fill="003060"/>
          </w:tcPr>
          <w:p>
            <w:r>
              <w:rPr>
                <w:b/>
                <w:color w:val="FFFFFF"/>
                <w:sz w:val="18"/>
              </w:rPr>
              <w:t>Estado anterior</w:t>
            </w:r>
          </w:p>
        </w:tc>
        <w:tc>
          <w:tcPr>
            <w:tcW w:type="dxa" w:w="3288"/>
            <w:shd w:val="clear" w:color="auto" w:fill="003060"/>
          </w:tcPr>
          <w:p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1417"/>
            <w:shd w:val="clear" w:color="auto" w:fill="003060"/>
          </w:tcPr>
          <w:p>
            <w:r>
              <w:rPr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1701"/>
            <w:shd w:val="clear" w:color="auto" w:fill="003060"/>
          </w:tcPr>
          <w:p>
            <w:r>
              <w:rPr>
                <w:b/>
                <w:color w:val="FFFFFF"/>
                <w:sz w:val="18"/>
              </w:rPr>
              <w:t>Brecha hoy</w:t>
            </w:r>
          </w:p>
        </w:tc>
      </w:tr>
      <w:tr>
        <w:tc>
          <w:tcPr>
            <w:tcW w:type="dxa" w:w="2551"/>
            <w:vAlign w:val="center"/>
            <w:shd w:val="clear" w:color="auto" w:fill="FFF3CD"/>
          </w:tcPr>
          <w:p>
            <w:pPr>
              <w:spacing w:before="40" w:after="40"/>
            </w:pPr>
            <w:r>
              <w:rPr>
                <w:sz w:val="18"/>
              </w:rPr>
              <w:t>Editor 3D de escena con obstáculos que genera FS horario por string</w:t>
            </w:r>
          </w:p>
        </w:tc>
        <w:tc>
          <w:tcPr>
            <w:tcW w:type="dxa" w:w="1587"/>
            <w:vAlign w:val="center"/>
            <w:shd w:val="clear" w:color="auto" w:fill="FFF3CD"/>
          </w:tcPr>
          <w:p>
            <w:pPr>
              <w:spacing w:before="40" w:after="40"/>
            </w:pPr>
            <w:r>
              <w:rPr>
                <w:sz w:val="18"/>
              </w:rPr>
              <w:t>Vista 3D ilustrativa</w:t>
              <w:br/>
              <w:t>🔴 Grande</w:t>
            </w:r>
          </w:p>
        </w:tc>
        <w:tc>
          <w:tcPr>
            <w:tcW w:type="dxa" w:w="3288"/>
            <w:vAlign w:val="center"/>
            <w:shd w:val="clear" w:color="auto" w:fill="FFF3CD"/>
          </w:tcPr>
          <w:p>
            <w:pPr>
              <w:spacing w:before="40" w:after="40"/>
            </w:pPr>
            <w:r>
              <w:rPr>
                <w:sz w:val="18"/>
              </w:rPr>
              <w:t>Calculadora de Sombreado 3D independiente (bipv.innovacionquimica.com.co) exporta CSV FS_geométrico hora × fachada. Página 9 Vista 3D con heatmap POA.</w:t>
            </w:r>
          </w:p>
        </w:tc>
        <w:tc>
          <w:tcPr>
            <w:tcW w:type="dxa" w:w="1417"/>
            <w:vAlign w:val="center"/>
            <w:shd w:val="clear" w:color="auto" w:fill="FFF3CD"/>
          </w:tcPr>
          <w:p>
            <w:pPr>
              <w:spacing w:before="40" w:after="40"/>
            </w:pPr>
            <w:r>
              <w:rPr>
                <w:sz w:val="18"/>
              </w:rPr>
              <w:t>⬆️ Cerrada</w:t>
              <w:br/>
              <w:t>parcialmente</w:t>
            </w:r>
          </w:p>
        </w:tc>
        <w:tc>
          <w:tcPr>
            <w:tcW w:type="dxa" w:w="1701"/>
            <w:vAlign w:val="center"/>
            <w:shd w:val="clear" w:color="auto" w:fill="FFF3CD"/>
          </w:tcPr>
          <w:p>
            <w:pPr>
              <w:spacing w:before="40" w:after="40"/>
            </w:pPr>
            <w:r>
              <w:rPr>
                <w:sz w:val="18"/>
              </w:rPr>
              <w:t>🟡 Moderada</w:t>
              <w:br/>
              <w:t>(PVsyst integra obstáculos en la misma escena; aquí son dos apps)</w:t>
            </w:r>
          </w:p>
        </w:tc>
      </w:tr>
      <w:tr>
        <w:tc>
          <w:tcPr>
            <w:tcW w:type="dxa" w:w="2551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Mismatch string por string bajo sombra parcial — pérdida más costosa en BIPV fachada urbana</w:t>
            </w:r>
          </w:p>
        </w:tc>
        <w:tc>
          <w:tcPr>
            <w:tcW w:type="dxa" w:w="1587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Factor fijo %</w:t>
              <w:br/>
              <w:t>🔴 Crítico</w:t>
            </w:r>
          </w:p>
        </w:tc>
        <w:tc>
          <w:tcPr>
            <w:tcW w:type="dxa" w:w="3288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Página 5 — Bypass Diodes: simulación hora a hora (8 760 iter.), FS_geométrico desde CSV, circuito IV por string, pérdida real en kWh DC/año.</w:t>
            </w:r>
          </w:p>
        </w:tc>
        <w:tc>
          <w:tcPr>
            <w:tcW w:type="dxa" w:w="1417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✅ CERRADA</w:t>
              <w:br/>
              <w:t>completamente</w:t>
            </w:r>
          </w:p>
        </w:tc>
        <w:tc>
          <w:tcPr>
            <w:tcW w:type="dxa" w:w="1701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🟢 Eliminada</w:t>
              <w:br/>
              <w:t>(implementación equivalente a PVsyst)</w:t>
            </w:r>
          </w:p>
        </w:tc>
      </w:tr>
      <w:tr>
        <w:tc>
          <w:tcPr>
            <w:tcW w:type="dxa" w:w="2551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Modelo térmico BIPV diferenciado por tipo de ventilación (Uc/Uv)</w:t>
            </w:r>
          </w:p>
        </w:tc>
        <w:tc>
          <w:tcPr>
            <w:tcW w:type="dxa" w:w="1587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k_BIPV global</w:t>
              <w:br/>
              <w:t>🟡 Importante</w:t>
            </w:r>
          </w:p>
        </w:tc>
        <w:tc>
          <w:tcPr>
            <w:tcW w:type="dxa" w:w="3288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Motor Óptico (Pág. 5b): IAM + soiling + k_BIPV diferenciado por tipo (ventilada 0.93–0.97, semi-ventilada, confinada 0.88–0.92).</w:t>
            </w:r>
          </w:p>
        </w:tc>
        <w:tc>
          <w:tcPr>
            <w:tcW w:type="dxa" w:w="1417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✅ CERRADA</w:t>
            </w:r>
          </w:p>
        </w:tc>
        <w:tc>
          <w:tcPr>
            <w:tcW w:type="dxa" w:w="1701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🟢 Eliminada</w:t>
            </w:r>
          </w:p>
        </w:tc>
      </w:tr>
      <w:tr>
        <w:tc>
          <w:tcPr>
            <w:tcW w:type="dxa" w:w="2551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Multi-subarray N+S+E+W en un proyecto</w:t>
            </w:r>
          </w:p>
        </w:tc>
        <w:tc>
          <w:tcPr>
            <w:tcW w:type="dxa" w:w="1587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Un solo plano</w:t>
              <w:br/>
              <w:t>🟡 Importante</w:t>
            </w:r>
          </w:p>
        </w:tc>
        <w:tc>
          <w:tcPr>
            <w:tcW w:type="dxa" w:w="3288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Página 9 Multi-Superficie: hasta N superficies con tilt, azimuth, área y tipo propios. E_ac total ponderada. Bypass por superficie individual.</w:t>
            </w:r>
          </w:p>
        </w:tc>
        <w:tc>
          <w:tcPr>
            <w:tcW w:type="dxa" w:w="1417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✅ CERRADA</w:t>
            </w:r>
          </w:p>
        </w:tc>
        <w:tc>
          <w:tcPr>
            <w:tcW w:type="dxa" w:w="1701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🟢 Eliminada</w:t>
            </w:r>
          </w:p>
        </w:tc>
      </w:tr>
      <w:tr>
        <w:tc>
          <w:tcPr>
            <w:tcW w:type="dxa" w:w="2551"/>
            <w:vAlign w:val="center"/>
            <w:shd w:val="clear" w:color="auto" w:fill="FFE0E0"/>
          </w:tcPr>
          <w:p>
            <w:pPr>
              <w:spacing w:before="40" w:after="40"/>
            </w:pPr>
            <w:r>
              <w:rPr>
                <w:sz w:val="18"/>
              </w:rPr>
              <w:t>P50 / P90 / P95 — análisis probabilístico (bancabilidad)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spacing w:before="40" w:after="40"/>
            </w:pPr>
            <w:r>
              <w:rPr>
                <w:sz w:val="18"/>
              </w:rPr>
              <w:t>Solo valor determinístico</w:t>
              <w:br/>
              <w:t>🟡 Importante</w:t>
            </w:r>
          </w:p>
        </w:tc>
        <w:tc>
          <w:tcPr>
            <w:tcW w:type="dxa" w:w="3288"/>
            <w:vAlign w:val="center"/>
            <w:shd w:val="clear" w:color="auto" w:fill="FFE0E0"/>
          </w:tcPr>
          <w:p>
            <w:pPr>
              <w:spacing w:before="40" w:after="40"/>
            </w:pPr>
            <w:r>
              <w:rPr>
                <w:sz w:val="18"/>
              </w:rPr>
              <w:t>Sin cambios. No implementado.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spacing w:before="40" w:after="40"/>
            </w:pPr>
            <w:r>
              <w:rPr>
                <w:sz w:val="18"/>
              </w:rPr>
              <w:t>— Sin cambio</w:t>
            </w:r>
          </w:p>
        </w:tc>
        <w:tc>
          <w:tcPr>
            <w:tcW w:type="dxa" w:w="1701"/>
            <w:vAlign w:val="center"/>
            <w:shd w:val="clear" w:color="auto" w:fill="FFE0E0"/>
          </w:tcPr>
          <w:p>
            <w:pPr>
              <w:spacing w:before="40" w:after="40"/>
            </w:pPr>
            <w:r>
              <w:rPr>
                <w:sz w:val="18"/>
              </w:rPr>
              <w:t>🔴 Abierta</w:t>
              <w:br/>
              <w:t>(bloquea créditos verdes que exigen P90 certificado)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Pérdidas espectrales (corrección AM)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 implementado</w:t>
              <w:br/>
              <w:t>🟡 Pequeño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Sin cambios.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 Sin cambio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 Baja prioridad</w:t>
              <w:br/>
              <w:t>(~1–2% de impacto)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Base de datos integrada 13 000+ paneles e inversores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Catálogo Excel manual</w:t>
              <w:br/>
              <w:t>🟡 Setup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Sin cambios. Catálogo Excel con detección automática de headers.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 Sin cambio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 Moderada</w:t>
              <w:br/>
              <w:t>(setup más lento pero catálogo personalizado)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Soiling dinámico con lluvia y frecuencia de limpieza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Factor fijo</w:t>
              <w:br/>
              <w:t>🟢 Pequeño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Sin cambios. Factor fijo en Motor Óptico.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 Sin cambio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🟢 Baja prioridad</w:t>
              <w:br/>
              <w:t>(Medellín/Urabá: lluvia frecuente mitiga el efecto)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03060"/>
          <w:sz w:val="32"/>
        </w:rPr>
        <w:t>3. Lo que la Calculadora BIPV tiene y PVsyst NO tiene — actualizado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003060"/>
          </w:tcPr>
          <w:p>
            <w:r>
              <w:rPr>
                <w:b/>
                <w:color w:val="FFFFFF"/>
                <w:sz w:val="18"/>
              </w:rPr>
              <w:t>Capacidad Calculadora BIPV</w:t>
            </w:r>
          </w:p>
        </w:tc>
        <w:tc>
          <w:tcPr>
            <w:tcW w:type="dxa" w:w="2268"/>
            <w:shd w:val="clear" w:color="auto" w:fill="003060"/>
          </w:tcPr>
          <w:p>
            <w:r>
              <w:rPr>
                <w:b/>
                <w:color w:val="FFFFFF"/>
                <w:sz w:val="18"/>
              </w:rPr>
              <w:t>PVsyst</w:t>
            </w:r>
          </w:p>
        </w:tc>
        <w:tc>
          <w:tcPr>
            <w:tcW w:type="dxa" w:w="1984"/>
            <w:shd w:val="clear" w:color="auto" w:fill="003060"/>
          </w:tcPr>
          <w:p>
            <w:r>
              <w:rPr>
                <w:b/>
                <w:color w:val="FFFFFF"/>
                <w:sz w:val="18"/>
              </w:rPr>
              <w:t>Novedad agosto 2026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TIR, VPN, Payback, LCOE con Ley 1715 (Art. 11, 12, 14) — flujo de caja completo a 25 años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Financiero básico, casi inútil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 Sin cambios (ya era 9/10)</w:t>
            </w:r>
          </w:p>
        </w:tc>
      </w:tr>
      <w:tr>
        <w:tc>
          <w:tcPr>
            <w:tcW w:type="dxa" w:w="3969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Estimación Rápida paramétrica: CAPEX + OPEX en 2 minutos con benchmarks Colombia por tipo y zona geográfica → alimenta Financiero automáticamente</w:t>
            </w:r>
          </w:p>
        </w:tc>
        <w:tc>
          <w:tcPr>
            <w:tcW w:type="dxa" w:w="2268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Inexistente</w:t>
            </w:r>
          </w:p>
        </w:tc>
        <w:tc>
          <w:tcPr>
            <w:tcW w:type="dxa" w:w="1984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✅ NUEVO — agosto 2026</w:t>
            </w:r>
          </w:p>
        </w:tc>
      </w:tr>
      <w:tr>
        <w:tc>
          <w:tcPr>
            <w:tcW w:type="dxa" w:w="3969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Presupuesto bancable completo: 8 pestañas con OPEX, costos blandos (ITA, RETIE, PM), contingencias diferenciadas AUI + técnica + precios + DSRA</w:t>
            </w:r>
          </w:p>
        </w:tc>
        <w:tc>
          <w:tcPr>
            <w:tcW w:type="dxa" w:w="2268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Inexistente</w:t>
            </w:r>
          </w:p>
        </w:tc>
        <w:tc>
          <w:tcPr>
            <w:tcW w:type="dxa" w:w="1984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✅ NUEVO — completado julio 2026</w:t>
            </w:r>
          </w:p>
        </w:tc>
      </w:tr>
      <w:tr>
        <w:tc>
          <w:tcPr>
            <w:tcW w:type="dxa" w:w="3969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Factores de zona geográfica Colombia: Urabá ×1.17, Llanos ×1.12, Costa ×1.08 — afecta CAPEX de obra civil y logística automáticamente</w:t>
            </w:r>
          </w:p>
        </w:tc>
        <w:tc>
          <w:tcPr>
            <w:tcW w:type="dxa" w:w="2268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Genérico, sin regionalización</w:t>
            </w:r>
          </w:p>
        </w:tc>
        <w:tc>
          <w:tcPr>
            <w:tcW w:type="dxa" w:w="1984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✅ NUEVO — agosto 2026</w:t>
            </w:r>
          </w:p>
        </w:tc>
      </w:tr>
      <w:tr>
        <w:tc>
          <w:tcPr>
            <w:tcW w:type="dxa" w:w="3969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Degradación real desde historial PR: regresión lineal sobre PR_corr_T de años anteriores → tasa real medida en lugar de catálogo</w:t>
            </w:r>
          </w:p>
        </w:tc>
        <w:tc>
          <w:tcPr>
            <w:tcW w:type="dxa" w:w="2268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No incluido</w:t>
            </w:r>
          </w:p>
        </w:tc>
        <w:tc>
          <w:tcPr>
            <w:tcW w:type="dxa" w:w="1984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✅ NUEVO — julio 2026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Diagnóstico PR_corr_T mensual con semáforo IEC 61724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Exportar a Excel y analizar manualmente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 Sin cambios (ya era 7/10)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Catálogo de baterías con integración financiera y alerta de incompatibilidad con inversor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Módulo técnico sin economía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 Sin cambios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Web-based, sin instalación, accesible desde celular; sin licencia (vs. USD 2.800/año PVsyst)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Solo Windows, USD 2.800/año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 Sin cambios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Informe PDF orientado a venta: lenguaje cliente, TIR/VPN prominente, desglose costos en COP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Informe técnico puro, no vendible directamente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 Sin cambios</w:t>
            </w:r>
          </w:p>
        </w:tc>
      </w:tr>
      <w:tr>
        <w:tc>
          <w:tcPr>
            <w:tcW w:type="dxa" w:w="3969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Bypass diodes por superficie individual en sistema multi-fachada</w:t>
            </w:r>
          </w:p>
        </w:tc>
        <w:tc>
          <w:tcPr>
            <w:tcW w:type="dxa" w:w="2268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No disponible por superficie</w:t>
            </w:r>
          </w:p>
        </w:tc>
        <w:tc>
          <w:tcPr>
            <w:tcW w:type="dxa" w:w="1984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sz w:val="18"/>
              </w:rPr>
              <w:t>✅ NUEVO — julio 2026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03060"/>
          <w:sz w:val="32"/>
        </w:rPr>
        <w:t>4. Puntajes actualizados — agosto 2026</w:t>
      </w:r>
    </w:p>
    <w:p>
      <w:pPr>
        <w:spacing w:before="20" w:after="60"/>
      </w:pPr>
      <w:r>
        <w:rPr>
          <w:b w:val="0"/>
          <w:i/>
          <w:sz w:val="20"/>
        </w:rPr>
        <w:t>Los puntajes anteriores se muestran entre paréntesis. La escala es sobre 10, donde PVsyst = referencia en simulación energética pura.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54"/>
            <w:shd w:val="clear" w:color="auto" w:fill="003060"/>
          </w:tcPr>
          <w:p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1247"/>
            <w:shd w:val="clear" w:color="auto" w:fill="003060"/>
          </w:tcPr>
          <w:p>
            <w:r>
              <w:rPr>
                <w:b/>
                <w:color w:val="FFFFFF"/>
                <w:sz w:val="18"/>
              </w:rPr>
              <w:t>Calculadora BIPV (antes)</w:t>
            </w:r>
          </w:p>
        </w:tc>
        <w:tc>
          <w:tcPr>
            <w:tcW w:type="dxa" w:w="1247"/>
            <w:shd w:val="clear" w:color="auto" w:fill="003060"/>
          </w:tcPr>
          <w:p>
            <w:r>
              <w:rPr>
                <w:b/>
                <w:color w:val="FFFFFF"/>
                <w:sz w:val="18"/>
              </w:rPr>
              <w:t>Calculadora BIPV (ahora)</w:t>
            </w:r>
          </w:p>
        </w:tc>
        <w:tc>
          <w:tcPr>
            <w:tcW w:type="dxa" w:w="1020"/>
            <w:shd w:val="clear" w:color="auto" w:fill="003060"/>
          </w:tcPr>
          <w:p>
            <w:r>
              <w:rPr>
                <w:b/>
                <w:color w:val="FFFFFF"/>
                <w:sz w:val="18"/>
              </w:rPr>
              <w:t>PVsyst</w:t>
            </w:r>
          </w:p>
        </w:tc>
        <w:tc>
          <w:tcPr>
            <w:tcW w:type="dxa" w:w="3118"/>
            <w:shd w:val="clear" w:color="auto" w:fill="003060"/>
          </w:tcPr>
          <w:p>
            <w:r>
              <w:rPr>
                <w:b/>
                <w:color w:val="FFFFFF"/>
                <w:sz w:val="18"/>
              </w:rPr>
              <w:t>Comentario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Simulación energética profunda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 / 10</w:t>
            </w:r>
          </w:p>
        </w:tc>
        <w:tc>
          <w:tcPr>
            <w:tcW w:type="dxa" w:w="1247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b/>
                <w:sz w:val="18"/>
              </w:rPr>
              <w:t>6.5 / 10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spacing w:before="40" w:after="40"/>
            </w:pPr>
            <w:r>
              <w:rPr>
                <w:sz w:val="18"/>
              </w:rPr>
              <w:t>10 / 10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Bypass diodes + Motor Óptico BIPV + Multi-superficie. Falta P90.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Modelado BIPV especializado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 / 10</w:t>
            </w:r>
          </w:p>
        </w:tc>
        <w:tc>
          <w:tcPr>
            <w:tcW w:type="dxa" w:w="1247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b/>
                <w:sz w:val="18"/>
              </w:rPr>
              <w:t>7.5 / 10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spacing w:before="40" w:after="40"/>
            </w:pPr>
            <w:r>
              <w:rPr>
                <w:sz w:val="18"/>
              </w:rPr>
              <w:t>8 / 10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IAM + soiling + k_BIPV diferenciado + bypass horario. Cierra la brecha de mismatch real. Falta espectral.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Análisis financiero / comercial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 / 10</w:t>
            </w:r>
          </w:p>
        </w:tc>
        <w:tc>
          <w:tcPr>
            <w:tcW w:type="dxa" w:w="1247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b/>
                <w:sz w:val="18"/>
              </w:rPr>
              <w:t>9.5 / 10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spacing w:before="40" w:after="40"/>
            </w:pPr>
            <w:r>
              <w:rPr>
                <w:sz w:val="18"/>
              </w:rPr>
              <w:t>2 / 10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Estimación Rápida + presupuesto bancable completo + Ley 1715 + degradación real + TRM.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Diagnóstico O&amp;M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 / 10</w:t>
            </w:r>
          </w:p>
        </w:tc>
        <w:tc>
          <w:tcPr>
            <w:tcW w:type="dxa" w:w="1247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b/>
                <w:sz w:val="18"/>
              </w:rPr>
              <w:t>8 / 10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spacing w:before="40" w:after="40"/>
            </w:pPr>
            <w:r>
              <w:rPr>
                <w:sz w:val="18"/>
              </w:rPr>
              <w:t>2 / 10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Degradación desde historial PR real (regresión lineal) añadida.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Contexto mercado colombiano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 / 10</w:t>
            </w:r>
          </w:p>
        </w:tc>
        <w:tc>
          <w:tcPr>
            <w:tcW w:type="dxa" w:w="1247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b/>
                <w:sz w:val="18"/>
              </w:rPr>
              <w:t>9.5 / 10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spacing w:before="40" w:after="40"/>
            </w:pPr>
            <w:r>
              <w:rPr>
                <w:sz w:val="18"/>
              </w:rPr>
              <w:t>1 / 10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Factores de zona geográfica (Urabá ×1.17 etc.), benchmarks Colombia julio 2026.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Accesibilidad / costo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 / 10</w:t>
            </w:r>
          </w:p>
        </w:tc>
        <w:tc>
          <w:tcPr>
            <w:tcW w:type="dxa" w:w="1247"/>
            <w:vAlign w:val="center"/>
            <w:shd w:val="clear" w:color="auto" w:fill="D6F4D6"/>
          </w:tcPr>
          <w:p>
            <w:pPr>
              <w:spacing w:before="40" w:after="40"/>
            </w:pPr>
            <w:r>
              <w:rPr>
                <w:b/>
                <w:sz w:val="18"/>
              </w:rPr>
              <w:t>9 / 10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spacing w:before="40" w:after="40"/>
            </w:pPr>
            <w:r>
              <w:rPr>
                <w:sz w:val="18"/>
              </w:rPr>
              <w:t>3 / 10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Web, sin instalación, sin licencia. Sin cambios.</w:t>
            </w:r>
          </w:p>
        </w:tc>
      </w:tr>
    </w:tbl>
    <w:p/>
    <w:p>
      <w:pPr>
        <w:spacing w:before="20" w:after="60"/>
      </w:pPr>
      <w:r>
        <w:rPr>
          <w:b w:val="0"/>
          <w:i/>
          <w:sz w:val="20"/>
        </w:rPr>
        <w:t>Promedio ponderado anterior:  Calc. BIPV 7.2 / 10  ·  PVsyst 4.3 / 10  (ponderado por peso práctico, no igual)</w:t>
      </w:r>
    </w:p>
    <w:p>
      <w:pPr>
        <w:spacing w:before="20" w:after="60"/>
      </w:pPr>
      <w:r>
        <w:rPr>
          <w:b/>
          <w:i w:val="0"/>
          <w:color w:val="003060"/>
          <w:sz w:val="20"/>
        </w:rPr>
        <w:t>Promedio ponderado actualizado:  Calc. BIPV 8.3 / 10  ·  PVsyst 4.3 / 10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03060"/>
          <w:sz w:val="32"/>
        </w:rPr>
        <w:t>5. Conclusión honesta</w:t>
      </w:r>
    </w:p>
    <w:p>
      <w:pPr>
        <w:spacing w:before="200" w:after="60"/>
      </w:pPr>
      <w:r>
        <w:rPr>
          <w:b/>
          <w:color w:val="006BB6"/>
          <w:sz w:val="26"/>
        </w:rPr>
        <w:t>Lo que cambió de fondo</w:t>
      </w:r>
    </w:p>
    <w:p>
      <w:pPr>
        <w:spacing w:before="20" w:after="60"/>
      </w:pPr>
      <w:r>
        <w:rPr>
          <w:b w:val="0"/>
          <w:i w:val="0"/>
          <w:sz w:val="20"/>
        </w:rPr>
        <w:t>La evaluación original calificó el mismatch por bypass diodes como la brecha más crítica para BIPV fachada urbana (🔴). Esa brecha está completamente cerrada: la Calculadora BIPV ahora simula hora a hora la activación de bypass diodes en cada string usando el factor de sombreado geométrico real de la fachada. PVsyst hace lo mismo, pero en una sola herramienta integrada; aquí son dos apps que se conectan por CSV. Técnicamente equivalente; en flujo de trabajo, PVsyst sigue siendo más ágil para ese paso específico.</w:t>
      </w:r>
    </w:p>
    <w:p>
      <w:pPr>
        <w:spacing w:before="20" w:after="60"/>
      </w:pPr>
      <w:r>
        <w:rPr>
          <w:b w:val="0"/>
          <w:i w:val="0"/>
          <w:sz w:val="20"/>
        </w:rPr>
        <w:t>El modelado térmico BIPV (k_BIPV diferenciado por tipo de ventilación) era 🟡 y ya está implementado. El multi-subarray era 🟡 y ya está implementado (Página 9). En el lado financiero y comercial — donde la calculadora ya ganaba — la Estimación Rápida paramétrica y el presupuesto bancable completo amplían aún más esa ventaja.</w:t>
      </w:r>
    </w:p>
    <w:p>
      <w:pPr>
        <w:spacing w:before="200" w:after="60"/>
      </w:pPr>
      <w:r>
        <w:rPr>
          <w:b/>
          <w:color w:val="006BB6"/>
          <w:sz w:val="26"/>
        </w:rPr>
        <w:t>Lo que NO cambió y por qué importa</w:t>
      </w:r>
    </w:p>
    <w:p>
      <w:pPr>
        <w:spacing w:before="20" w:after="60"/>
      </w:pPr>
      <w:r>
        <w:rPr>
          <w:b w:val="0"/>
          <w:i w:val="0"/>
          <w:sz w:val="20"/>
        </w:rPr>
        <w:t>P50/P90 sigue sin implementarse. Esta es la única brecha que bloquea casos de uso reales: cualquier proyecto que busque financiación bancaria con crédito verde (Bancoldex, BID, IFC) necesita un informe de energía certificable con P90. Sin P90, la calculadora no puede reemplazar a PVsyst en el proceso de due diligence bancario. Para todo lo demás — prefactibilidad, propuesta al cliente, dimensionamiento, presupuesto, rentabilidad, O&amp;M — la calculadora ya ofrece un flujo más completo que PVsyst.</w:t>
      </w:r>
    </w:p>
    <w:p>
      <w:pPr>
        <w:spacing w:before="200" w:after="60"/>
      </w:pPr>
      <w:r>
        <w:rPr>
          <w:b/>
          <w:color w:val="006BB6"/>
          <w:sz w:val="26"/>
        </w:rPr>
        <w:t>Posicionamiento real agosto 2026</w:t>
      </w:r>
    </w:p>
    <w:p>
      <w:pPr>
        <w:spacing w:before="20" w:after="60"/>
      </w:pPr>
      <w:r>
        <w:rPr>
          <w:b w:val="0"/>
          <w:i w:val="0"/>
          <w:sz w:val="20"/>
        </w:rPr>
        <w:t>La calculadora ya no es una 'herramienta de venta que complementa a PVsyst'. Es una herramienta técnico-comercial completa que cubre el 90% de los proyectos de desarrollo fotovoltaico en Colombia sin necesitar PVsyst. El 10% restante son proyectos que van a financiación bancaria formal, donde el banco exige un estudio certificable con P90 — ese 10% todavía requiere PVsyst o Helioscope como capa de validación adicional.</w:t>
      </w:r>
    </w:p>
    <w:p>
      <w:pPr>
        <w:spacing w:before="20" w:after="60"/>
      </w:pPr>
      <w:r>
        <w:rPr>
          <w:b/>
          <w:i w:val="0"/>
          <w:color w:val="003060"/>
          <w:sz w:val="20"/>
        </w:rPr>
        <w:t>Dicho de otra forma: un promotor con esta calculadora puede llevar un proyecto desde la primera visita al predio hasta la propuesta con TIR/VPN firmada, el presupuesto bancable estructurado, el OPEX proyectado a 25 años y la simulación de sombras validada — sin abrir PVsyst una sola vez. Solo cuando el banco pide el P90 necesita una herramienta externa.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03060"/>
          <w:sz w:val="32"/>
        </w:rPr>
        <w:t>6. La única mejora que cambia el posicionamiento: P50/P90</w:t>
      </w:r>
    </w:p>
    <w:p>
      <w:pPr>
        <w:spacing w:before="20" w:after="60"/>
      </w:pPr>
      <w:r>
        <w:rPr>
          <w:b w:val="0"/>
          <w:i/>
          <w:sz w:val="20"/>
        </w:rPr>
        <w:t>Todas las brechas técnicas restantes (pérdidas espectrales, soiling dinámico, base de datos amplia) tienen impacto marginal sobre el resultado financiero. El P90 tiene impacto estratégico: abre el segmento de proyectos con financiación bancaria verde.</w:t>
      </w:r>
    </w:p>
    <w:p>
      <w:pPr>
        <w:spacing w:before="200" w:after="60"/>
      </w:pPr>
      <w:r>
        <w:rPr>
          <w:b/>
          <w:color w:val="006BB6"/>
          <w:sz w:val="26"/>
        </w:rPr>
        <w:t>Qué es el P90 y cómo se calcula</w:t>
      </w:r>
    </w:p>
    <w:p>
      <w:pPr>
        <w:spacing w:before="20" w:after="60"/>
      </w:pPr>
      <w:r>
        <w:rPr>
          <w:b w:val="0"/>
          <w:i w:val="0"/>
          <w:sz w:val="20"/>
        </w:rPr>
        <w:t>El P90 es la producción anual que el sistema supera con probabilidad del 90%. Se calcula propagando las incertidumbres del modelo de irradiación (variabilidad interanual del TMY, incertidumbre del modelo de transposición, incertidumbre del modelo de pérdidas) y combinándolas en una distribución normal de la energía anual. El P90 es típicamente 5–12% menor que el P50 (valor central o 'base case').</w:t>
      </w:r>
    </w:p>
    <w:p>
      <w:pPr>
        <w:spacing w:before="200" w:after="60"/>
      </w:pPr>
      <w:r>
        <w:rPr>
          <w:b/>
          <w:color w:val="006BB6"/>
          <w:sz w:val="26"/>
        </w:rPr>
        <w:t>Implementación posible con los datos actuales</w:t>
      </w:r>
    </w:p>
    <w:p>
      <w:pPr>
        <w:pStyle w:val="ListBullet"/>
        <w:spacing w:before="20" w:after="20"/>
        <w:ind w:left="283"/>
      </w:pPr>
      <w:r>
        <w:rPr>
          <w:sz w:val="20"/>
        </w:rPr>
        <w:t>Fuente de incertidumbre 1 — variabilidad interanual TMY: estimar σ_irr ≈ 4–6% del GHI anual (valor conservador sin datos históricos propios; Solargis publica σ por región Colombia).</w:t>
      </w:r>
    </w:p>
    <w:p>
      <w:pPr>
        <w:pStyle w:val="ListBullet"/>
        <w:spacing w:before="20" w:after="20"/>
        <w:ind w:left="283"/>
      </w:pPr>
      <w:r>
        <w:rPr>
          <w:sz w:val="20"/>
        </w:rPr>
        <w:t>Fuente de incertidumbre 2 — modelo de pérdidas: σ_PR ≈ 3–5% (calibrado con datos de sistemas monitoreados).</w:t>
      </w:r>
    </w:p>
    <w:p>
      <w:pPr>
        <w:pStyle w:val="ListBullet"/>
        <w:spacing w:before="20" w:after="20"/>
        <w:ind w:left="283"/>
      </w:pPr>
      <w:r>
        <w:rPr>
          <w:sz w:val="20"/>
        </w:rPr>
        <w:t>Combinación cuadrática: σ_total = √(σ_irr² + σ_PR²). Típicamente 5–8%.</w:t>
      </w:r>
    </w:p>
    <w:p>
      <w:pPr>
        <w:pStyle w:val="ListBullet"/>
        <w:spacing w:before="20" w:after="20"/>
        <w:ind w:left="283"/>
      </w:pPr>
      <w:r>
        <w:rPr>
          <w:sz w:val="20"/>
        </w:rPr>
        <w:t>P90 = E_ac_P50 × (1 − 1.28 × σ_total)  donde 1.28 = z-score del percentil 90 unilateral.</w:t>
      </w:r>
    </w:p>
    <w:p>
      <w:pPr>
        <w:pStyle w:val="ListBullet"/>
        <w:spacing w:before="20" w:after="20"/>
        <w:ind w:left="283"/>
      </w:pPr>
      <w:r>
        <w:rPr>
          <w:sz w:val="20"/>
        </w:rPr>
        <w:t>Implementación en la app: slider de 'incertidumbre del TMY' (baja/media/alta) + cálculo automático de P90 junto al P50.</w:t>
      </w:r>
    </w:p>
    <w:p>
      <w:pPr>
        <w:spacing w:before="20" w:after="60"/>
      </w:pPr>
      <w:r>
        <w:rPr>
          <w:b w:val="0"/>
          <w:i/>
          <w:color w:val="555555"/>
          <w:sz w:val="20"/>
        </w:rPr>
        <w:t>Con este enfoque simplificado, el P90 de la calculadora no sería certificable por un banco internacional sin respaldo de Solargis o NREL, pero sería suficiente para una primera presentación al comité de crédito de un banco colombiano y para estructurar el modelo financiero bajo el escenario conservador.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6"/>
        </w:rPr>
        <w:t>Calculadora BIPV — Innovación Química / SolTech Energy  ·  agosto 2026  ·  calc.innovacionquimica.com.co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