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E212A" w14:textId="77777777" w:rsidR="00503520" w:rsidRPr="00503520" w:rsidRDefault="00503520" w:rsidP="00503520">
      <w:pPr>
        <w:pBdr>
          <w:bottom w:val="single" w:sz="6" w:space="6" w:color="EDECE8"/>
        </w:pBdr>
        <w:shd w:val="clear" w:color="auto" w:fill="F6F5F4"/>
        <w:spacing w:before="480" w:after="240" w:line="240" w:lineRule="auto"/>
        <w:outlineLvl w:val="1"/>
        <w:rPr>
          <w:rFonts w:ascii="Arial" w:eastAsia="Times New Roman" w:hAnsi="Arial" w:cs="Times New Roman"/>
          <w:b/>
          <w:bCs/>
          <w:color w:val="18191B"/>
          <w:sz w:val="36"/>
          <w:szCs w:val="36"/>
          <w:lang w:eastAsia="es-CO"/>
        </w:rPr>
      </w:pPr>
      <w:r w:rsidRPr="00503520">
        <w:rPr>
          <w:rFonts w:ascii="Arial" w:eastAsia="Times New Roman" w:hAnsi="Arial" w:cs="Times New Roman"/>
          <w:b/>
          <w:bCs/>
          <w:color w:val="18191B"/>
          <w:sz w:val="36"/>
          <w:szCs w:val="36"/>
          <w:lang w:eastAsia="es-CO"/>
        </w:rPr>
        <w:t xml:space="preserve">Tu calculadora BIPV vs </w:t>
      </w:r>
      <w:proofErr w:type="spellStart"/>
      <w:r w:rsidRPr="00503520">
        <w:rPr>
          <w:rFonts w:ascii="Arial" w:eastAsia="Times New Roman" w:hAnsi="Arial" w:cs="Times New Roman"/>
          <w:b/>
          <w:bCs/>
          <w:color w:val="18191B"/>
          <w:sz w:val="36"/>
          <w:szCs w:val="36"/>
          <w:lang w:eastAsia="es-CO"/>
        </w:rPr>
        <w:t>PVsyst</w:t>
      </w:r>
      <w:proofErr w:type="spellEnd"/>
    </w:p>
    <w:p w14:paraId="40CB1DFA" w14:textId="77777777" w:rsidR="00503520" w:rsidRPr="00503520" w:rsidRDefault="00503520" w:rsidP="00503520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</w:pPr>
      <w:r w:rsidRPr="00503520"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  <w:t xml:space="preserve">Lo que </w:t>
      </w:r>
      <w:proofErr w:type="spellStart"/>
      <w:r w:rsidRPr="00503520"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  <w:t>PVsyst</w:t>
      </w:r>
      <w:proofErr w:type="spellEnd"/>
      <w:r w:rsidRPr="00503520"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  <w:t xml:space="preserve"> tiene y tú NO (todavía)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53"/>
        <w:gridCol w:w="2208"/>
        <w:gridCol w:w="2719"/>
      </w:tblGrid>
      <w:tr w:rsidR="00503520" w:rsidRPr="00503520" w14:paraId="7BF4EECF" w14:textId="77777777" w:rsidTr="00503520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49D1DE" w14:textId="77777777" w:rsidR="00503520" w:rsidRPr="00503520" w:rsidRDefault="00503520" w:rsidP="00503520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t xml:space="preserve">Capacidad </w:t>
            </w:r>
            <w:proofErr w:type="spellStart"/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t>PVsyst</w:t>
            </w:r>
            <w:proofErr w:type="spellEnd"/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50784" w14:textId="77777777" w:rsidR="00503520" w:rsidRPr="00503520" w:rsidRDefault="00503520" w:rsidP="00503520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t>Tu calculadora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FE32EF" w14:textId="77777777" w:rsidR="00503520" w:rsidRPr="00503520" w:rsidRDefault="00503520" w:rsidP="00503520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t>Brecha real</w:t>
            </w:r>
          </w:p>
        </w:tc>
      </w:tr>
      <w:tr w:rsidR="00503520" w:rsidRPr="00503520" w14:paraId="26953908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A824B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Editor 3D de escena con obstáculos exactos (árboles, edificios vecinos) que genera factor de sombra por hora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56444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Vista 3D ilustrativa +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heatmap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TMY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4469A2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Segoe UI Emoji" w:eastAsia="Times New Roman" w:hAnsi="Segoe UI Emoji" w:cs="Segoe UI Emoji"/>
                <w:color w:val="18191B"/>
                <w:sz w:val="21"/>
                <w:szCs w:val="21"/>
                <w:lang w:eastAsia="es-CO"/>
              </w:rPr>
              <w:t>🔴</w:t>
            </w: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Grande.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PVsyst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calcula sombras sobre cada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string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individualmente</w:t>
            </w:r>
          </w:p>
        </w:tc>
      </w:tr>
      <w:tr w:rsidR="00503520" w:rsidRPr="00503520" w14:paraId="75AE3DEA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B99ED4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Análisis de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mismatch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string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por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string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 bajo sombra parcial — la pérdida más costosa en BIPV fachada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0F0A52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Factor fijo de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mismatch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en %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0BEDCA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Segoe UI Emoji" w:eastAsia="Times New Roman" w:hAnsi="Segoe UI Emoji" w:cs="Segoe UI Emoji"/>
                <w:color w:val="18191B"/>
                <w:sz w:val="21"/>
                <w:szCs w:val="21"/>
                <w:lang w:eastAsia="es-CO"/>
              </w:rPr>
              <w:t>🔴</w:t>
            </w: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Crítico para fachadas urbanas con sombras complejas</w:t>
            </w:r>
          </w:p>
        </w:tc>
      </w:tr>
      <w:tr w:rsidR="00503520" w:rsidRPr="00503520" w14:paraId="1C1BE80F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A2A8D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P50 / P90 / P95 — análisis probabilístico de energía con incertidumbre de irradiación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8F3678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Solo valor determinístico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296BDE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Segoe UI Emoji" w:eastAsia="Times New Roman" w:hAnsi="Segoe UI Emoji" w:cs="Segoe UI Emoji"/>
                <w:color w:val="18191B"/>
                <w:sz w:val="21"/>
                <w:szCs w:val="21"/>
                <w:lang w:eastAsia="es-CO"/>
              </w:rPr>
              <w:t>🟡</w:t>
            </w: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Importante para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bancabilidad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(financiación bancaria exige P90)</w:t>
            </w:r>
          </w:p>
        </w:tc>
      </w:tr>
      <w:tr w:rsidR="00503520" w:rsidRPr="00503520" w14:paraId="149DD12A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A25B11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Modelo térmico BIPV por tipo de montaje —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Uc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/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Uv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diferenciado para ventilado,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semi-integrado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, integrado total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8C9049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Tk_gamma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global, sin distinción de ventilación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83D20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Segoe UI Emoji" w:eastAsia="Times New Roman" w:hAnsi="Segoe UI Emoji" w:cs="Segoe UI Emoji"/>
                <w:color w:val="18191B"/>
                <w:sz w:val="21"/>
                <w:szCs w:val="21"/>
                <w:lang w:eastAsia="es-CO"/>
              </w:rPr>
              <w:t>🟡</w:t>
            </w: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En BIPV la ventilación detrás del panel cambia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T_cell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hasta 15°C</w:t>
            </w:r>
          </w:p>
        </w:tc>
      </w:tr>
      <w:tr w:rsidR="00503520" w:rsidRPr="00503520" w14:paraId="143A0823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6DF840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Pérdidas espectrales (corrección por masa de aire AM)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9675F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No implementado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5F8339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Segoe UI Emoji" w:eastAsia="Times New Roman" w:hAnsi="Segoe UI Emoji" w:cs="Segoe UI Emoji"/>
                <w:color w:val="18191B"/>
                <w:sz w:val="21"/>
                <w:szCs w:val="21"/>
                <w:lang w:eastAsia="es-CO"/>
              </w:rPr>
              <w:t>🟡</w:t>
            </w: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Efecto pequeño (~1–2%), pero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PVsyst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lo tiene</w:t>
            </w:r>
          </w:p>
        </w:tc>
      </w:tr>
      <w:tr w:rsidR="00503520" w:rsidRPr="00503520" w14:paraId="28ED55FD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56E5CF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Base de datos integrada de 13.000+ paneles e inversores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BAE76D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Catálogo Excel manual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4D2767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Segoe UI Emoji" w:eastAsia="Times New Roman" w:hAnsi="Segoe UI Emoji" w:cs="Segoe UI Emoji"/>
                <w:color w:val="18191B"/>
                <w:sz w:val="21"/>
                <w:szCs w:val="21"/>
                <w:lang w:eastAsia="es-CO"/>
              </w:rPr>
              <w:t>🟡</w:t>
            </w: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Tiempo de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setup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vs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PVsyst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plug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-and-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play</w:t>
            </w:r>
            <w:proofErr w:type="spellEnd"/>
          </w:p>
        </w:tc>
      </w:tr>
      <w:tr w:rsidR="00503520" w:rsidRPr="00503520" w14:paraId="7762E581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88DE6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Soiling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dinámico con frecuencia de limpieza y lluvia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3872DE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Factor fijo de suciedad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9B7EF8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Segoe UI Emoji" w:eastAsia="Times New Roman" w:hAnsi="Segoe UI Emoji" w:cs="Segoe UI Emoji"/>
                <w:color w:val="18191B"/>
                <w:sz w:val="21"/>
                <w:szCs w:val="21"/>
                <w:lang w:eastAsia="es-CO"/>
              </w:rPr>
              <w:t>🟢</w:t>
            </w: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Pequeño en Medellín (lluvia frecuente)</w:t>
            </w:r>
          </w:p>
        </w:tc>
      </w:tr>
      <w:tr w:rsidR="00503520" w:rsidRPr="00503520" w14:paraId="585CBF64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B77E8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Análisis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multi-subarray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 (N+S+E+W en un solo proyecto)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3C470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Un solo plano inclinado por proyecto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93EFA1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Segoe UI Emoji" w:eastAsia="Times New Roman" w:hAnsi="Segoe UI Emoji" w:cs="Segoe UI Emoji"/>
                <w:color w:val="18191B"/>
                <w:sz w:val="21"/>
                <w:szCs w:val="21"/>
                <w:lang w:eastAsia="es-CO"/>
              </w:rPr>
              <w:t>🟡</w:t>
            </w: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Fachadas de edificio tienen múltiples orientaciones</w:t>
            </w:r>
          </w:p>
        </w:tc>
      </w:tr>
    </w:tbl>
    <w:p w14:paraId="7927393D" w14:textId="77777777" w:rsidR="00503520" w:rsidRPr="00503520" w:rsidRDefault="00A43B53" w:rsidP="0050352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7D129EF">
          <v:rect id="_x0000_i1025" style="width:0;height:.75pt" o:hralign="center" o:hrstd="t" o:hr="t" fillcolor="#a0a0a0" stroked="f"/>
        </w:pict>
      </w:r>
    </w:p>
    <w:p w14:paraId="70CBD829" w14:textId="77777777" w:rsidR="00503520" w:rsidRPr="00503520" w:rsidRDefault="00503520" w:rsidP="00503520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</w:pPr>
      <w:r w:rsidRPr="00503520"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  <w:t xml:space="preserve">Lo que tú tienes y </w:t>
      </w:r>
      <w:proofErr w:type="spellStart"/>
      <w:r w:rsidRPr="00503520"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  <w:t>PVsyst</w:t>
      </w:r>
      <w:proofErr w:type="spellEnd"/>
      <w:r w:rsidRPr="00503520"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  <w:t xml:space="preserve"> NO tiene (o tiene muy mal)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95"/>
        <w:gridCol w:w="3585"/>
      </w:tblGrid>
      <w:tr w:rsidR="00503520" w:rsidRPr="00503520" w14:paraId="092468F0" w14:textId="77777777" w:rsidTr="00503520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30989A" w14:textId="77777777" w:rsidR="00503520" w:rsidRPr="00503520" w:rsidRDefault="00503520" w:rsidP="00503520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lastRenderedPageBreak/>
              <w:t>Tu calculadora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B2196" w14:textId="77777777" w:rsidR="00503520" w:rsidRPr="00503520" w:rsidRDefault="00503520" w:rsidP="00503520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</w:pPr>
            <w:proofErr w:type="spellStart"/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t>PVsyst</w:t>
            </w:r>
            <w:proofErr w:type="spellEnd"/>
          </w:p>
        </w:tc>
      </w:tr>
      <w:tr w:rsidR="00503520" w:rsidRPr="00503520" w14:paraId="53EFBDEA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A72F6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TIR,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Payback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, VPN, LCOE detallados con escenarios de financiación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7934E9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Financiero básico, casi inútil</w:t>
            </w:r>
          </w:p>
        </w:tc>
      </w:tr>
      <w:tr w:rsidR="00503520" w:rsidRPr="00503520" w14:paraId="12F20004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5589BC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Presupuesto de materiales con cotización para el cliente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91AEF6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Inexistente</w:t>
            </w:r>
          </w:p>
        </w:tc>
      </w:tr>
      <w:tr w:rsidR="00503520" w:rsidRPr="00503520" w14:paraId="4D46BC4F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75B9D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Diagnóstico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PR_conv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+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PR_corr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 xml:space="preserve"> 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T°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 con semáforo mensual (IEC 61724)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827EC8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No incluido — debes exportar y analizar en Excel</w:t>
            </w:r>
          </w:p>
        </w:tc>
      </w:tr>
      <w:tr w:rsidR="00503520" w:rsidRPr="00503520" w14:paraId="3B2298E5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31411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Catálogo de baterías con integración financiera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15A332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Módulo técnico sin análisis económico</w:t>
            </w:r>
          </w:p>
        </w:tc>
      </w:tr>
      <w:tr w:rsidR="00503520" w:rsidRPr="00503520" w14:paraId="1ABF2963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5059F7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Contexto Colombia: tarifas EPM/EEPPM, COP, créditos fiscales colombianos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982B3A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Genérico, moneda y tarifas manuales</w:t>
            </w:r>
          </w:p>
        </w:tc>
      </w:tr>
      <w:tr w:rsidR="00503520" w:rsidRPr="00503520" w14:paraId="149BE3BC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A38239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Web-</w:t>
            </w:r>
            <w:proofErr w:type="spellStart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based</w:t>
            </w:r>
            <w:proofErr w:type="spellEnd"/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, sin instalación, accesible desde celular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C79495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Solo Windows, ~USD 2.800/año licencia</w:t>
            </w:r>
          </w:p>
        </w:tc>
      </w:tr>
      <w:tr w:rsidR="00503520" w:rsidRPr="00503520" w14:paraId="2F072EEB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7C6157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Informes orientados a venta — lenguaje para cliente final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AF095E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Informe técnico puro, no vendible directamente</w:t>
            </w:r>
          </w:p>
        </w:tc>
      </w:tr>
    </w:tbl>
    <w:p w14:paraId="419FCA0F" w14:textId="77777777" w:rsidR="00503520" w:rsidRPr="00503520" w:rsidRDefault="00A43B53" w:rsidP="0050352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E42912A">
          <v:rect id="_x0000_i1026" style="width:0;height:.75pt" o:hralign="center" o:hrstd="t" o:hr="t" fillcolor="#a0a0a0" stroked="f"/>
        </w:pict>
      </w:r>
    </w:p>
    <w:p w14:paraId="2A176F60" w14:textId="77777777" w:rsidR="00503520" w:rsidRPr="00503520" w:rsidRDefault="00503520" w:rsidP="00503520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</w:pPr>
      <w:r w:rsidRPr="00503520"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  <w:t>Puntuación honesta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45"/>
        <w:gridCol w:w="3804"/>
        <w:gridCol w:w="1231"/>
      </w:tblGrid>
      <w:tr w:rsidR="00503520" w:rsidRPr="00503520" w14:paraId="5074F871" w14:textId="77777777" w:rsidTr="00503520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188C1E" w14:textId="77777777" w:rsidR="00503520" w:rsidRPr="00503520" w:rsidRDefault="00503520" w:rsidP="00503520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t>Dimensión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4375D" w14:textId="77777777" w:rsidR="00503520" w:rsidRPr="00503520" w:rsidRDefault="00503520" w:rsidP="00503520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t>Tu calculadora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8CA3CF" w14:textId="77777777" w:rsidR="00503520" w:rsidRPr="00503520" w:rsidRDefault="00503520" w:rsidP="00503520">
            <w:pPr>
              <w:spacing w:after="0" w:line="240" w:lineRule="auto"/>
              <w:jc w:val="center"/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</w:pPr>
            <w:proofErr w:type="spellStart"/>
            <w:r w:rsidRPr="00503520">
              <w:rPr>
                <w:rFonts w:ascii="Arial" w:eastAsia="Times New Roman" w:hAnsi="Arial" w:cs="Times New Roman"/>
                <w:b/>
                <w:bCs/>
                <w:color w:val="18191B"/>
                <w:sz w:val="21"/>
                <w:szCs w:val="21"/>
                <w:lang w:eastAsia="es-CO"/>
              </w:rPr>
              <w:t>PVsyst</w:t>
            </w:r>
            <w:proofErr w:type="spellEnd"/>
          </w:p>
        </w:tc>
      </w:tr>
      <w:tr w:rsidR="00503520" w:rsidRPr="00503520" w14:paraId="67DD042E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6BE264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Simulación energética profunda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8D9E9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4 / 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2CB9B3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10 / 10</w:t>
            </w:r>
          </w:p>
        </w:tc>
      </w:tr>
      <w:tr w:rsidR="00503520" w:rsidRPr="00503520" w14:paraId="2456A625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F6582A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Modelado BIPV especializado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A11BFA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5 / 10 (subiendo con tarea #19)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AFBB1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8 / 10</w:t>
            </w:r>
          </w:p>
        </w:tc>
      </w:tr>
      <w:tr w:rsidR="00503520" w:rsidRPr="00503520" w14:paraId="67F8ED5E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30A20C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Análisis financiero / comercial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C58094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9 / 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E2558D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2 / 10</w:t>
            </w:r>
          </w:p>
        </w:tc>
      </w:tr>
      <w:tr w:rsidR="00503520" w:rsidRPr="00503520" w14:paraId="282CBE00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7259C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Diagnóstico O&amp;M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AB22E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7 / 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266C0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2 / 10</w:t>
            </w:r>
          </w:p>
        </w:tc>
      </w:tr>
      <w:tr w:rsidR="00503520" w:rsidRPr="00503520" w14:paraId="389E05C9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81CF34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Contexto mercado colombiano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F6E97D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9 / 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833F6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1 / 10</w:t>
            </w:r>
          </w:p>
        </w:tc>
      </w:tr>
      <w:tr w:rsidR="00503520" w:rsidRPr="00503520" w14:paraId="13625920" w14:textId="77777777" w:rsidTr="00503520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0CA50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Accesibilidad / costo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6E1C35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9 / 10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CD920" w14:textId="77777777" w:rsidR="00503520" w:rsidRPr="00503520" w:rsidRDefault="00503520" w:rsidP="00503520">
            <w:pPr>
              <w:spacing w:after="0" w:line="240" w:lineRule="auto"/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</w:pPr>
            <w:r w:rsidRPr="00503520">
              <w:rPr>
                <w:rFonts w:ascii="Arial" w:eastAsia="Times New Roman" w:hAnsi="Arial" w:cs="Times New Roman"/>
                <w:color w:val="18191B"/>
                <w:sz w:val="21"/>
                <w:szCs w:val="21"/>
                <w:lang w:eastAsia="es-CO"/>
              </w:rPr>
              <w:t>3 / 10</w:t>
            </w:r>
          </w:p>
        </w:tc>
      </w:tr>
    </w:tbl>
    <w:p w14:paraId="3F01D274" w14:textId="77777777" w:rsidR="00503520" w:rsidRPr="00503520" w:rsidRDefault="00A43B53" w:rsidP="00503520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AC7BBD8">
          <v:rect id="_x0000_i1027" style="width:0;height:.75pt" o:hralign="center" o:hrstd="t" o:hr="t" fillcolor="#a0a0a0" stroked="f"/>
        </w:pict>
      </w:r>
    </w:p>
    <w:p w14:paraId="43F37DF6" w14:textId="77777777" w:rsidR="00503520" w:rsidRPr="00503520" w:rsidRDefault="00503520" w:rsidP="00503520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</w:pPr>
      <w:r w:rsidRPr="00503520">
        <w:rPr>
          <w:rFonts w:ascii="Arial" w:eastAsia="Times New Roman" w:hAnsi="Arial" w:cs="Times New Roman"/>
          <w:b/>
          <w:bCs/>
          <w:color w:val="18191B"/>
          <w:sz w:val="30"/>
          <w:szCs w:val="30"/>
          <w:lang w:eastAsia="es-CO"/>
        </w:rPr>
        <w:t>Conclusión real</w:t>
      </w:r>
    </w:p>
    <w:p w14:paraId="6F342DB1" w14:textId="77777777" w:rsidR="00503520" w:rsidRPr="00503520" w:rsidRDefault="00503520" w:rsidP="00503520">
      <w:pPr>
        <w:shd w:val="clear" w:color="auto" w:fill="F6F5F4"/>
        <w:spacing w:after="0" w:line="240" w:lineRule="auto"/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</w:pPr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Tu calculadora no reemplaza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PVsyst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 para una ingeniería de detalle certificable — si un banco pide un estudio P90 para un crédito verde, necesitas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PVsyst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 o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Helioscope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.</w:t>
      </w:r>
    </w:p>
    <w:p w14:paraId="3FC9CBA6" w14:textId="77777777" w:rsidR="00503520" w:rsidRPr="00503520" w:rsidRDefault="00503520" w:rsidP="00503520">
      <w:pPr>
        <w:shd w:val="clear" w:color="auto" w:fill="F6F5F4"/>
        <w:spacing w:after="0" w:line="240" w:lineRule="auto"/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</w:pPr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lastRenderedPageBreak/>
        <w:t xml:space="preserve">Pero ya supera a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PVsyst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 en lo que importa para vender BIPV en Colombia: el ciclo completo desde irradiación hasta propuesta firmada en COP con proyección de retorno. Un ingeniero con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PVsyst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 todavía necesita 3 herramientas más para llegar donde tú llegas en una sola sesión.</w:t>
      </w:r>
    </w:p>
    <w:p w14:paraId="3B966BF5" w14:textId="77777777" w:rsidR="00503520" w:rsidRPr="00503520" w:rsidRDefault="00503520" w:rsidP="00503520">
      <w:pPr>
        <w:shd w:val="clear" w:color="auto" w:fill="F6F5F4"/>
        <w:spacing w:after="0" w:line="240" w:lineRule="auto"/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</w:pPr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Las dos mejoras con mayor ROI técnico para acercarte a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PVsyst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:</w:t>
      </w:r>
    </w:p>
    <w:p w14:paraId="14B868E1" w14:textId="77777777" w:rsidR="00503520" w:rsidRPr="00503520" w:rsidRDefault="00503520" w:rsidP="00503520">
      <w:pPr>
        <w:numPr>
          <w:ilvl w:val="0"/>
          <w:numId w:val="1"/>
        </w:numPr>
        <w:shd w:val="clear" w:color="auto" w:fill="F6F5F4"/>
        <w:spacing w:after="0" w:line="240" w:lineRule="auto"/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</w:pP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Mismatch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 por sombreado parcial (tarea #19 parcialmente, pero el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mismatch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 real requiere modelado de bypass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diodes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 por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string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) — es la pérdida que más se subestima en BIPV fachada urbana</w:t>
      </w:r>
    </w:p>
    <w:p w14:paraId="019C2F2C" w14:textId="77777777" w:rsidR="00503520" w:rsidRPr="00503520" w:rsidRDefault="00503520" w:rsidP="00503520">
      <w:pPr>
        <w:numPr>
          <w:ilvl w:val="0"/>
          <w:numId w:val="1"/>
        </w:numPr>
        <w:shd w:val="clear" w:color="auto" w:fill="F6F5F4"/>
        <w:spacing w:after="0" w:line="240" w:lineRule="auto"/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</w:pPr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P50/P90 — un número, pero desbloquea acceso a financiación bancaria que </w:t>
      </w:r>
      <w:proofErr w:type="spellStart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>PVsyst</w:t>
      </w:r>
      <w:proofErr w:type="spellEnd"/>
      <w:r w:rsidRPr="00503520">
        <w:rPr>
          <w:rFonts w:ascii="Arial" w:eastAsia="Times New Roman" w:hAnsi="Arial" w:cs="Times New Roman"/>
          <w:color w:val="18191B"/>
          <w:sz w:val="21"/>
          <w:szCs w:val="21"/>
          <w:lang w:eastAsia="es-CO"/>
        </w:rPr>
        <w:t xml:space="preserve"> sí permite certificar</w:t>
      </w:r>
    </w:p>
    <w:p w14:paraId="5A08104F" w14:textId="46DABEB2" w:rsidR="00663593" w:rsidRDefault="00663593"/>
    <w:p w14:paraId="46D035A7" w14:textId="77777777" w:rsidR="00961EDF" w:rsidRPr="00961EDF" w:rsidRDefault="00961EDF" w:rsidP="00961EDF">
      <w:pPr>
        <w:pBdr>
          <w:bottom w:val="single" w:sz="6" w:space="6" w:color="EDECE8"/>
        </w:pBdr>
        <w:shd w:val="clear" w:color="auto" w:fill="F6F5F4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</w:pPr>
      <w:r w:rsidRPr="00961EDF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>El problema de fondo</w:t>
      </w:r>
    </w:p>
    <w:p w14:paraId="3CA71837" w14:textId="77777777" w:rsidR="00961EDF" w:rsidRPr="00961EDF" w:rsidRDefault="00961EDF" w:rsidP="00961EDF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La tabla actual es un estimado de obra, no un presupuesto bancable. Para un banco o fondo de inversión, la diferencia es crítica: un estimado dice "probablemente cuesta esto", un presupuesto bancable dice "esto cuesta exactamente esto, con fuentes, con garantías, y con reservas para cuando algo salga mal".</w:t>
      </w:r>
    </w:p>
    <w:p w14:paraId="7158D9EF" w14:textId="77777777" w:rsidR="00961EDF" w:rsidRPr="00961EDF" w:rsidRDefault="00961EDF" w:rsidP="00961ED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1ED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3AE7605F">
          <v:rect id="_x0000_i1028" style="width:0;height:.75pt" o:hralign="center" o:hrstd="t" o:hr="t" fillcolor="#a0a0a0" stroked="f"/>
        </w:pict>
      </w:r>
    </w:p>
    <w:p w14:paraId="78AD8B80" w14:textId="77777777" w:rsidR="00961EDF" w:rsidRPr="00961EDF" w:rsidRDefault="00961EDF" w:rsidP="00961EDF">
      <w:pPr>
        <w:pBdr>
          <w:bottom w:val="single" w:sz="6" w:space="6" w:color="EDECE8"/>
        </w:pBdr>
        <w:shd w:val="clear" w:color="auto" w:fill="F6F5F4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</w:pPr>
      <w:r w:rsidRPr="00961EDF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>Qué le falta estructuralmente</w:t>
      </w:r>
    </w:p>
    <w:p w14:paraId="34CD9A12" w14:textId="77777777" w:rsidR="00961EDF" w:rsidRPr="00961EDF" w:rsidRDefault="00961EDF" w:rsidP="00961EDF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1. Falta toda la columna OPEX (costos anuales de operación)</w:t>
      </w:r>
    </w:p>
    <w:p w14:paraId="4E9C8605" w14:textId="77777777" w:rsidR="00961EDF" w:rsidRPr="00961EDF" w:rsidRDefault="00961EDF" w:rsidP="00961EDF">
      <w:p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Los bancos no financian solo el CAPEX — evalúan el flujo de caja durante 20-25 años. Sin OPEX proyectado, el modelo financiero está incompleto.</w:t>
      </w:r>
    </w:p>
    <w:p w14:paraId="65CE53B8" w14:textId="77777777" w:rsidR="00961EDF" w:rsidRPr="00961EDF" w:rsidRDefault="00961EDF" w:rsidP="00961EDF">
      <w:pPr>
        <w:shd w:val="clear" w:color="auto" w:fill="F6F5F4"/>
        <w:spacing w:after="24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Lo que falta hoy: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22"/>
        <w:gridCol w:w="3558"/>
      </w:tblGrid>
      <w:tr w:rsidR="00961EDF" w:rsidRPr="00961EDF" w14:paraId="7DA65286" w14:textId="77777777" w:rsidTr="00961EDF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6E94E2" w14:textId="77777777" w:rsidR="00961EDF" w:rsidRPr="00961EDF" w:rsidRDefault="00961EDF" w:rsidP="00961E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Ítem OPEX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52702E" w14:textId="77777777" w:rsidR="00961EDF" w:rsidRPr="00961EDF" w:rsidRDefault="00961EDF" w:rsidP="00961E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Referencia Colombia</w:t>
            </w:r>
          </w:p>
        </w:tc>
      </w:tr>
      <w:tr w:rsidR="00961EDF" w:rsidRPr="00961EDF" w14:paraId="39856098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8D942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O&amp;M mano de obra anual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BF78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8–15/</w:t>
            </w:r>
            <w:proofErr w:type="spellStart"/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kWp</w:t>
            </w:r>
            <w:proofErr w:type="spellEnd"/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/año</w:t>
            </w:r>
          </w:p>
        </w:tc>
      </w:tr>
      <w:tr w:rsidR="00961EDF" w:rsidRPr="00961EDF" w14:paraId="17696458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D786C0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Limpieza de módulos (Urabá = alta frecuencia)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59644C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2–4/</w:t>
            </w:r>
            <w:proofErr w:type="spellStart"/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kWp</w:t>
            </w:r>
            <w:proofErr w:type="spellEnd"/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/año</w:t>
            </w:r>
          </w:p>
        </w:tc>
      </w:tr>
      <w:tr w:rsidR="00961EDF" w:rsidRPr="00961EDF" w14:paraId="493350C8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3B484E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Seguro operativo (todo riesgo)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51A4FD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0.3–0.5% del CAPEX/año</w:t>
            </w:r>
          </w:p>
        </w:tc>
      </w:tr>
      <w:tr w:rsidR="00961EDF" w:rsidRPr="00961EDF" w14:paraId="0142CF7F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AEDE73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Monitoreo remoto (</w:t>
            </w:r>
            <w:proofErr w:type="spellStart"/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Growatt</w:t>
            </w:r>
            <w:proofErr w:type="spellEnd"/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Cloud o similar)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98BACA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 200–500/año</w:t>
            </w:r>
          </w:p>
        </w:tc>
      </w:tr>
      <w:tr w:rsidR="00961EDF" w:rsidRPr="00961EDF" w14:paraId="6958D73E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1EF521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Fondo de reposición inversor (año 12-15)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AEE374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~15% costo inversor / vida útil</w:t>
            </w:r>
          </w:p>
        </w:tc>
      </w:tr>
      <w:tr w:rsidR="00961EDF" w:rsidRPr="00961EDF" w14:paraId="242BDE89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465A57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Fondo de degradación acelerada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475E6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opcional pero valorado</w:t>
            </w:r>
          </w:p>
        </w:tc>
      </w:tr>
    </w:tbl>
    <w:p w14:paraId="4204E97D" w14:textId="77777777" w:rsidR="00961EDF" w:rsidRPr="00961EDF" w:rsidRDefault="00961EDF" w:rsidP="00961ED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1ED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5968F6F3">
          <v:rect id="_x0000_i1029" style="width:0;height:.75pt" o:hralign="center" o:hrstd="t" o:hr="t" fillcolor="#a0a0a0" stroked="f"/>
        </w:pict>
      </w:r>
    </w:p>
    <w:p w14:paraId="517E3155" w14:textId="77777777" w:rsidR="00961EDF" w:rsidRPr="00961EDF" w:rsidRDefault="00961EDF" w:rsidP="00961EDF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lastRenderedPageBreak/>
        <w:t>2. Faltan los costos blandos (</w:t>
      </w:r>
      <w:proofErr w:type="spellStart"/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soft</w:t>
      </w:r>
      <w:proofErr w:type="spellEnd"/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</w:t>
      </w:r>
      <w:proofErr w:type="spellStart"/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costs</w:t>
      </w:r>
      <w:proofErr w:type="spellEnd"/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) — los bancos los exigen explícitamente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48"/>
        <w:gridCol w:w="5932"/>
      </w:tblGrid>
      <w:tr w:rsidR="00961EDF" w:rsidRPr="00961EDF" w14:paraId="056D16E0" w14:textId="77777777" w:rsidTr="00961EDF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76A4F" w14:textId="77777777" w:rsidR="00961EDF" w:rsidRPr="00961EDF" w:rsidRDefault="00961EDF" w:rsidP="00961E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Categoría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F65022" w14:textId="77777777" w:rsidR="00961EDF" w:rsidRPr="00961EDF" w:rsidRDefault="00961EDF" w:rsidP="00961E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Contenido</w:t>
            </w:r>
          </w:p>
        </w:tc>
      </w:tr>
      <w:tr w:rsidR="00961EDF" w:rsidRPr="00961EDF" w14:paraId="31F4706A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133FDB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Ingeniería y diseño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857C0B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Estudio de sombras, RETIE, memorias de cálculo, planos eléctricos</w:t>
            </w:r>
          </w:p>
        </w:tc>
      </w:tr>
      <w:tr w:rsidR="00961EDF" w:rsidRPr="00961EDF" w14:paraId="6F7A7C91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951C0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Trámites y permisos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1F1E9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Registro UPME (Resolución 281/2015), concepto de conexión operador red, ANLA si aplica</w:t>
            </w:r>
          </w:p>
        </w:tc>
      </w:tr>
      <w:tr w:rsidR="00961EDF" w:rsidRPr="00961EDF" w14:paraId="51658B44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9A982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Asesoría legal y financiera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B8AA2F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Contrato EPC, contrato O&amp;M, estructuración financiera</w:t>
            </w:r>
          </w:p>
        </w:tc>
      </w:tr>
      <w:tr w:rsidR="00961EDF" w:rsidRPr="00961EDF" w14:paraId="216EB35A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9C8067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Auditoría técnica independiente (ITA)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BAF1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Requisito explícito en proyectos &gt; USD 200k</w:t>
            </w:r>
          </w:p>
        </w:tc>
      </w:tr>
      <w:tr w:rsidR="00961EDF" w:rsidRPr="00961EDF" w14:paraId="6B4DE5FE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34AA7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Pólizas durante construcción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B3C308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CAR (Construcción Todo Riesgo)</w:t>
            </w:r>
          </w:p>
        </w:tc>
      </w:tr>
      <w:tr w:rsidR="00961EDF" w:rsidRPr="00961EDF" w14:paraId="55FE4C6A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7D242E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Gestión del proyecto (PM)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E1C98F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3–5% del CAPEX directo</w:t>
            </w:r>
          </w:p>
        </w:tc>
      </w:tr>
    </w:tbl>
    <w:p w14:paraId="17C653B4" w14:textId="77777777" w:rsidR="00961EDF" w:rsidRPr="00961EDF" w:rsidRDefault="00961EDF" w:rsidP="00961ED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1ED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2AD6AB56">
          <v:rect id="_x0000_i1030" style="width:0;height:.75pt" o:hralign="center" o:hrstd="t" o:hr="t" fillcolor="#a0a0a0" stroked="f"/>
        </w:pict>
      </w:r>
    </w:p>
    <w:p w14:paraId="2E85E806" w14:textId="77777777" w:rsidR="00961EDF" w:rsidRPr="00961EDF" w:rsidRDefault="00961EDF" w:rsidP="00961EDF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3. Falta la reserva de contingencia diferenciada por categoría de riesgo</w:t>
      </w:r>
    </w:p>
    <w:p w14:paraId="6222FA88" w14:textId="77777777" w:rsidR="00961EDF" w:rsidRPr="00961EDF" w:rsidRDefault="00961EDF" w:rsidP="00961EDF">
      <w:pPr>
        <w:shd w:val="clear" w:color="auto" w:fill="F6F5F4"/>
        <w:spacing w:after="24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Hoy tienes un solo slider de imprevistos para todo. Los bancos quieren ver:</w:t>
      </w:r>
    </w:p>
    <w:p w14:paraId="72F210C4" w14:textId="77777777" w:rsidR="00961EDF" w:rsidRPr="00961EDF" w:rsidRDefault="00961EDF" w:rsidP="00961EDF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Contingencia técnica (instalación, BIPV en fachada = riesgo mayor que suelo): 10–15%</w:t>
      </w:r>
    </w:p>
    <w:p w14:paraId="4B7A157B" w14:textId="77777777" w:rsidR="00961EDF" w:rsidRPr="00961EDF" w:rsidRDefault="00961EDF" w:rsidP="00961EDF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Contingencia de precios (volatilidad insumos): 5–8%</w:t>
      </w:r>
    </w:p>
    <w:p w14:paraId="2596E747" w14:textId="77777777" w:rsidR="00961EDF" w:rsidRPr="00961EDF" w:rsidRDefault="00961EDF" w:rsidP="00961EDF">
      <w:pPr>
        <w:numPr>
          <w:ilvl w:val="0"/>
          <w:numId w:val="2"/>
        </w:numPr>
        <w:shd w:val="clear" w:color="auto" w:fill="F6F5F4"/>
        <w:spacing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Reserva de servicio de deuda (DSRA): 3–6 meses de cuota</w:t>
      </w:r>
    </w:p>
    <w:p w14:paraId="29334F3C" w14:textId="77777777" w:rsidR="00961EDF" w:rsidRPr="00961EDF" w:rsidRDefault="00961EDF" w:rsidP="00961ED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1ED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0877BAAB">
          <v:rect id="_x0000_i1031" style="width:0;height:.75pt" o:hralign="center" o:hrstd="t" o:hr="t" fillcolor="#a0a0a0" stroked="f"/>
        </w:pict>
      </w:r>
    </w:p>
    <w:p w14:paraId="30736C5E" w14:textId="77777777" w:rsidR="00961EDF" w:rsidRPr="00961EDF" w:rsidRDefault="00961EDF" w:rsidP="00961EDF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4. Falta trazabilidad de precios (</w:t>
      </w:r>
      <w:proofErr w:type="spellStart"/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bancabilidad</w:t>
      </w:r>
      <w:proofErr w:type="spellEnd"/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P90 de costos)</w:t>
      </w:r>
    </w:p>
    <w:p w14:paraId="57111522" w14:textId="77777777" w:rsidR="00961EDF" w:rsidRPr="00961EDF" w:rsidRDefault="00961EDF" w:rsidP="00961EDF">
      <w:pPr>
        <w:shd w:val="clear" w:color="auto" w:fill="F6F5F4"/>
        <w:spacing w:after="24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Un banco pide "¿de dónde viene ese USD 65/módulo?". Hoy no hay forma de adjuntar:</w:t>
      </w:r>
    </w:p>
    <w:p w14:paraId="4564A207" w14:textId="77777777" w:rsidR="00961EDF" w:rsidRPr="00961EDF" w:rsidRDefault="00961EDF" w:rsidP="00961EDF">
      <w:pPr>
        <w:numPr>
          <w:ilvl w:val="0"/>
          <w:numId w:val="3"/>
        </w:numPr>
        <w:shd w:val="clear" w:color="auto" w:fill="F6F5F4"/>
        <w:spacing w:before="60"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Cotización de proveedor con fecha y vigencia</w:t>
      </w:r>
    </w:p>
    <w:p w14:paraId="40A8B6DE" w14:textId="77777777" w:rsidR="00961EDF" w:rsidRPr="00961EDF" w:rsidRDefault="00961EDF" w:rsidP="00961EDF">
      <w:pPr>
        <w:numPr>
          <w:ilvl w:val="0"/>
          <w:numId w:val="3"/>
        </w:numPr>
        <w:shd w:val="clear" w:color="auto" w:fill="F6F5F4"/>
        <w:spacing w:before="60"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Referencia de mercado (UPME publica precios de referencia)</w:t>
      </w:r>
    </w:p>
    <w:p w14:paraId="237C31B3" w14:textId="77777777" w:rsidR="00961EDF" w:rsidRPr="00961EDF" w:rsidRDefault="00961EDF" w:rsidP="00961EDF">
      <w:pPr>
        <w:numPr>
          <w:ilvl w:val="0"/>
          <w:numId w:val="3"/>
        </w:numPr>
        <w:shd w:val="clear" w:color="auto" w:fill="F6F5F4"/>
        <w:spacing w:before="60" w:after="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Distinción precio CIF Colombia vs. precio con IVA vs. precio instalado</w:t>
      </w:r>
    </w:p>
    <w:p w14:paraId="6E8B6BB4" w14:textId="77777777" w:rsidR="00961EDF" w:rsidRPr="00961EDF" w:rsidRDefault="00961EDF" w:rsidP="00961ED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1ED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440DCFA">
          <v:rect id="_x0000_i1032" style="width:0;height:.75pt" o:hralign="center" o:hrstd="t" o:hr="t" fillcolor="#a0a0a0" stroked="f"/>
        </w:pict>
      </w:r>
    </w:p>
    <w:p w14:paraId="75AFC3C3" w14:textId="77777777" w:rsidR="00961EDF" w:rsidRPr="00961EDF" w:rsidRDefault="00961EDF" w:rsidP="00961EDF">
      <w:pPr>
        <w:shd w:val="clear" w:color="auto" w:fill="F6F5F4"/>
        <w:spacing w:before="360" w:after="240" w:line="240" w:lineRule="auto"/>
        <w:outlineLvl w:val="2"/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</w:pPr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lastRenderedPageBreak/>
        <w:t>5. El costo/</w:t>
      </w:r>
      <w:proofErr w:type="spellStart"/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>kWp</w:t>
      </w:r>
      <w:proofErr w:type="spellEnd"/>
      <w:r w:rsidRPr="00961EDF">
        <w:rPr>
          <w:rFonts w:ascii="Arial" w:eastAsia="Times New Roman" w:hAnsi="Arial" w:cs="Arial"/>
          <w:b/>
          <w:bCs/>
          <w:color w:val="18191B"/>
          <w:sz w:val="30"/>
          <w:szCs w:val="30"/>
          <w:lang w:eastAsia="es-CO"/>
        </w:rPr>
        <w:t xml:space="preserve"> no es suficiente como KPI</w:t>
      </w:r>
    </w:p>
    <w:p w14:paraId="72F5F4EA" w14:textId="77777777" w:rsidR="00961EDF" w:rsidRPr="00961EDF" w:rsidRDefault="00961EDF" w:rsidP="00961EDF">
      <w:pPr>
        <w:shd w:val="clear" w:color="auto" w:fill="F6F5F4"/>
        <w:spacing w:after="24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Los bancos usan tres indicadores cruzados:</w:t>
      </w:r>
    </w:p>
    <w:tbl>
      <w:tblPr>
        <w:tblW w:w="8880" w:type="dxa"/>
        <w:shd w:val="clear" w:color="auto" w:fill="F6F5F4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64"/>
        <w:gridCol w:w="5816"/>
      </w:tblGrid>
      <w:tr w:rsidR="00961EDF" w:rsidRPr="00961EDF" w14:paraId="52F5042D" w14:textId="77777777" w:rsidTr="00961EDF">
        <w:trPr>
          <w:tblHeader/>
        </w:trPr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1B68F" w14:textId="77777777" w:rsidR="00961EDF" w:rsidRPr="00961EDF" w:rsidRDefault="00961EDF" w:rsidP="00961E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KPI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85680A" w14:textId="77777777" w:rsidR="00961EDF" w:rsidRPr="00961EDF" w:rsidRDefault="00961EDF" w:rsidP="00961EDF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b/>
                <w:bCs/>
                <w:color w:val="18191B"/>
                <w:sz w:val="21"/>
                <w:szCs w:val="21"/>
                <w:lang w:eastAsia="es-CO"/>
              </w:rPr>
              <w:t>Valor de referencia BIPV Colombia 2025</w:t>
            </w:r>
          </w:p>
        </w:tc>
      </w:tr>
      <w:tr w:rsidR="00961EDF" w:rsidRPr="00961EDF" w14:paraId="33BC63FB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AE0333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USD/</w:t>
            </w:r>
            <w:proofErr w:type="spellStart"/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Wp</w:t>
            </w:r>
            <w:proofErr w:type="spellEnd"/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 xml:space="preserve"> instalado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D85A1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1.8 – 3.5 (fachada: extremo alto)</w:t>
            </w:r>
          </w:p>
        </w:tc>
      </w:tr>
      <w:tr w:rsidR="00961EDF" w:rsidRPr="00961EDF" w14:paraId="370366F4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45CA3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USD/m² de fachada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AFAF9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2CBDC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180 – 320</w:t>
            </w:r>
          </w:p>
        </w:tc>
      </w:tr>
      <w:tr w:rsidR="00961EDF" w:rsidRPr="00961EDF" w14:paraId="76B99643" w14:textId="77777777" w:rsidTr="00961EDF"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9162AE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OPEX/CAPEX anual</w:t>
            </w:r>
          </w:p>
        </w:tc>
        <w:tc>
          <w:tcPr>
            <w:tcW w:w="0" w:type="auto"/>
            <w:tcBorders>
              <w:top w:val="single" w:sz="6" w:space="0" w:color="E3E2DD"/>
              <w:left w:val="single" w:sz="6" w:space="0" w:color="E3E2DD"/>
              <w:bottom w:val="single" w:sz="6" w:space="0" w:color="E3E2DD"/>
              <w:right w:val="single" w:sz="6" w:space="0" w:color="E3E2DD"/>
            </w:tcBorders>
            <w:shd w:val="clear" w:color="auto" w:fill="F6F5F4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835DFE" w14:textId="77777777" w:rsidR="00961EDF" w:rsidRPr="00961EDF" w:rsidRDefault="00961EDF" w:rsidP="00961EDF">
            <w:pPr>
              <w:spacing w:after="0" w:line="240" w:lineRule="auto"/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</w:pPr>
            <w:r w:rsidRPr="00961EDF">
              <w:rPr>
                <w:rFonts w:ascii="Arial" w:eastAsia="Times New Roman" w:hAnsi="Arial" w:cs="Arial"/>
                <w:color w:val="18191B"/>
                <w:sz w:val="21"/>
                <w:szCs w:val="21"/>
                <w:lang w:eastAsia="es-CO"/>
              </w:rPr>
              <w:t>1.5 – 2.5%</w:t>
            </w:r>
          </w:p>
        </w:tc>
      </w:tr>
    </w:tbl>
    <w:p w14:paraId="48C682FF" w14:textId="77777777" w:rsidR="00961EDF" w:rsidRPr="00961EDF" w:rsidRDefault="00961EDF" w:rsidP="00961EDF">
      <w:pPr>
        <w:shd w:val="clear" w:color="auto" w:fill="F6F5F4"/>
        <w:spacing w:after="240" w:line="240" w:lineRule="auto"/>
        <w:rPr>
          <w:rFonts w:ascii="Arial" w:eastAsia="Times New Roman" w:hAnsi="Arial" w:cs="Arial"/>
          <w:color w:val="18191B"/>
          <w:sz w:val="21"/>
          <w:szCs w:val="21"/>
          <w:lang w:eastAsia="es-CO"/>
        </w:rPr>
      </w:pPr>
      <w:r w:rsidRPr="00961EDF">
        <w:rPr>
          <w:rFonts w:ascii="Arial" w:eastAsia="Times New Roman" w:hAnsi="Arial" w:cs="Arial"/>
          <w:color w:val="18191B"/>
          <w:sz w:val="21"/>
          <w:szCs w:val="21"/>
          <w:lang w:eastAsia="es-CO"/>
        </w:rPr>
        <w:t>Si el presupuesto da cifras fuera de estos rangos, el banco pide justificación técnica.</w:t>
      </w:r>
    </w:p>
    <w:p w14:paraId="029C57D1" w14:textId="77777777" w:rsidR="00961EDF" w:rsidRPr="00961EDF" w:rsidRDefault="00961EDF" w:rsidP="00961EDF">
      <w:pPr>
        <w:spacing w:before="360" w:after="36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961EDF">
        <w:rPr>
          <w:rFonts w:ascii="Times New Roman" w:eastAsia="Times New Roman" w:hAnsi="Times New Roman" w:cs="Times New Roman"/>
          <w:sz w:val="24"/>
          <w:szCs w:val="24"/>
          <w:lang w:eastAsia="es-CO"/>
        </w:rPr>
        <w:pict w14:anchorId="776A5F20">
          <v:rect id="_x0000_i1033" style="width:0;height:.75pt" o:hralign="center" o:hrstd="t" o:hr="t" fillcolor="#a0a0a0" stroked="f"/>
        </w:pict>
      </w:r>
    </w:p>
    <w:p w14:paraId="42E1A4F9" w14:textId="77777777" w:rsidR="00961EDF" w:rsidRPr="00961EDF" w:rsidRDefault="00961EDF" w:rsidP="00961EDF">
      <w:pPr>
        <w:pBdr>
          <w:bottom w:val="single" w:sz="6" w:space="6" w:color="EDECE8"/>
        </w:pBdr>
        <w:shd w:val="clear" w:color="auto" w:fill="F6F5F4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</w:pPr>
      <w:r w:rsidRPr="00961EDF">
        <w:rPr>
          <w:rFonts w:ascii="Arial" w:eastAsia="Times New Roman" w:hAnsi="Arial" w:cs="Arial"/>
          <w:b/>
          <w:bCs/>
          <w:color w:val="18191B"/>
          <w:sz w:val="36"/>
          <w:szCs w:val="36"/>
          <w:lang w:eastAsia="es-CO"/>
        </w:rPr>
        <w:t>Cómo quedaría una estructura bancable real</w:t>
      </w:r>
    </w:p>
    <w:p w14:paraId="50D28E60" w14:textId="38ACDF4E" w:rsidR="00961EDF" w:rsidRDefault="00961EDF"/>
    <w:p w14:paraId="7F54290B" w14:textId="77777777" w:rsidR="00961EDF" w:rsidRDefault="00961EDF" w:rsidP="00961EDF">
      <w:r>
        <w:t>CAPEX DIRECTO</w:t>
      </w:r>
    </w:p>
    <w:p w14:paraId="5AB774CB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1. Equipos principales (m</w:t>
      </w:r>
      <w:r>
        <w:rPr>
          <w:rFonts w:ascii="Calibri" w:hAnsi="Calibri" w:cs="Calibri"/>
        </w:rPr>
        <w:t>ó</w:t>
      </w:r>
      <w:r>
        <w:t>dulos, inversor, bater</w:t>
      </w:r>
      <w:r>
        <w:rPr>
          <w:rFonts w:ascii="Calibri" w:hAnsi="Calibri" w:cs="Calibri"/>
        </w:rPr>
        <w:t>í</w:t>
      </w:r>
      <w:r>
        <w:t>as)</w:t>
      </w:r>
    </w:p>
    <w:p w14:paraId="4B087BDE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2. Balance de sistema (BOS): cables, protecciones, monitoreo</w:t>
      </w:r>
    </w:p>
    <w:p w14:paraId="1F84D19C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3. Estructura e integraci</w:t>
      </w:r>
      <w:r>
        <w:rPr>
          <w:rFonts w:ascii="Calibri" w:hAnsi="Calibri" w:cs="Calibri"/>
        </w:rPr>
        <w:t>ó</w:t>
      </w:r>
      <w:r>
        <w:t>n BIPV</w:t>
      </w:r>
    </w:p>
    <w:p w14:paraId="456A1EF8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4. Obra civil y adecuaciones</w:t>
      </w:r>
    </w:p>
    <w:p w14:paraId="1332ED02" w14:textId="77777777" w:rsidR="00961EDF" w:rsidRDefault="00961EDF" w:rsidP="00961EDF">
      <w:r>
        <w:t xml:space="preserve">  └─ 5. Instalación y puesta en marcha (mano de obra + pruebas RETIE)</w:t>
      </w:r>
    </w:p>
    <w:p w14:paraId="23BB2232" w14:textId="77777777" w:rsidR="00961EDF" w:rsidRDefault="00961EDF" w:rsidP="00961EDF"/>
    <w:p w14:paraId="5D1BA20B" w14:textId="77777777" w:rsidR="00961EDF" w:rsidRDefault="00961EDF" w:rsidP="00961EDF">
      <w:r>
        <w:t>CAPEX BLANDO (</w:t>
      </w:r>
      <w:proofErr w:type="spellStart"/>
      <w:r>
        <w:t>soft</w:t>
      </w:r>
      <w:proofErr w:type="spellEnd"/>
      <w:r>
        <w:t xml:space="preserve"> </w:t>
      </w:r>
      <w:proofErr w:type="spellStart"/>
      <w:r>
        <w:t>costs</w:t>
      </w:r>
      <w:proofErr w:type="spellEnd"/>
      <w:r>
        <w:t>)</w:t>
      </w:r>
    </w:p>
    <w:p w14:paraId="08245D96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6. Ingenier</w:t>
      </w:r>
      <w:r>
        <w:rPr>
          <w:rFonts w:ascii="Calibri" w:hAnsi="Calibri" w:cs="Calibri"/>
        </w:rPr>
        <w:t>í</w:t>
      </w:r>
      <w:r>
        <w:t>a, dise</w:t>
      </w:r>
      <w:r>
        <w:rPr>
          <w:rFonts w:ascii="Calibri" w:hAnsi="Calibri" w:cs="Calibri"/>
        </w:rPr>
        <w:t>ñ</w:t>
      </w:r>
      <w:r>
        <w:t>o y estudios</w:t>
      </w:r>
    </w:p>
    <w:p w14:paraId="7626F1F2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7. Tr</w:t>
      </w:r>
      <w:r>
        <w:rPr>
          <w:rFonts w:ascii="Calibri" w:hAnsi="Calibri" w:cs="Calibri"/>
        </w:rPr>
        <w:t>á</w:t>
      </w:r>
      <w:r>
        <w:t>mites, permisos y conexi</w:t>
      </w:r>
      <w:r>
        <w:rPr>
          <w:rFonts w:ascii="Calibri" w:hAnsi="Calibri" w:cs="Calibri"/>
        </w:rPr>
        <w:t>ó</w:t>
      </w:r>
      <w:r>
        <w:t>n a red</w:t>
      </w:r>
    </w:p>
    <w:p w14:paraId="4F1CC26E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8. Gesti</w:t>
      </w:r>
      <w:r>
        <w:rPr>
          <w:rFonts w:ascii="Calibri" w:hAnsi="Calibri" w:cs="Calibri"/>
        </w:rPr>
        <w:t>ó</w:t>
      </w:r>
      <w:r>
        <w:t>n de proyecto (PM)</w:t>
      </w:r>
    </w:p>
    <w:p w14:paraId="1D5BD6FF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9. Legal, financiero y auditor</w:t>
      </w:r>
      <w:r>
        <w:rPr>
          <w:rFonts w:ascii="Calibri" w:hAnsi="Calibri" w:cs="Calibri"/>
        </w:rPr>
        <w:t>í</w:t>
      </w:r>
      <w:r>
        <w:t>a ITA</w:t>
      </w:r>
    </w:p>
    <w:p w14:paraId="6753B0BA" w14:textId="77777777" w:rsidR="00961EDF" w:rsidRDefault="00961EDF" w:rsidP="00961EDF">
      <w:r>
        <w:t xml:space="preserve">  └─ 10. Seguros durante construcción (CAR)</w:t>
      </w:r>
    </w:p>
    <w:p w14:paraId="10AFC356" w14:textId="5679641F" w:rsidR="00961EDF" w:rsidRDefault="00961EDF" w:rsidP="00961EDF"/>
    <w:p w14:paraId="0A02E4A3" w14:textId="2C09FFDB" w:rsidR="00961EDF" w:rsidRDefault="00961EDF" w:rsidP="00961EDF"/>
    <w:p w14:paraId="16A948B5" w14:textId="77777777" w:rsidR="00961EDF" w:rsidRDefault="00961EDF" w:rsidP="00961EDF"/>
    <w:p w14:paraId="41E58612" w14:textId="77777777" w:rsidR="00961EDF" w:rsidRDefault="00961EDF" w:rsidP="00961EDF">
      <w:r>
        <w:lastRenderedPageBreak/>
        <w:t>CONTINGENCIAS</w:t>
      </w:r>
    </w:p>
    <w:p w14:paraId="1D55337D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11. Contingencia t</w:t>
      </w:r>
      <w:r>
        <w:rPr>
          <w:rFonts w:ascii="Calibri" w:hAnsi="Calibri" w:cs="Calibri"/>
        </w:rPr>
        <w:t>é</w:t>
      </w:r>
      <w:r>
        <w:t>cnica (%)</w:t>
      </w:r>
    </w:p>
    <w:p w14:paraId="68A4F8CE" w14:textId="77777777" w:rsidR="00961EDF" w:rsidRDefault="00961EDF" w:rsidP="00961EDF">
      <w:r>
        <w:t xml:space="preserve">  └─ 12. Contingencia de precios (%)</w:t>
      </w:r>
    </w:p>
    <w:p w14:paraId="1BE9F218" w14:textId="77777777" w:rsidR="00961EDF" w:rsidRDefault="00961EDF" w:rsidP="00961EDF"/>
    <w:p w14:paraId="78F954D6" w14:textId="77777777" w:rsidR="00961EDF" w:rsidRDefault="00961EDF" w:rsidP="00961EDF">
      <w:r>
        <w:t>─────────────────────────────────</w:t>
      </w:r>
    </w:p>
    <w:p w14:paraId="103898F2" w14:textId="77777777" w:rsidR="00961EDF" w:rsidRDefault="00961EDF" w:rsidP="00961EDF">
      <w:r>
        <w:t xml:space="preserve">  CAPEX TOTAL (para TIR/VPN)</w:t>
      </w:r>
    </w:p>
    <w:p w14:paraId="6650317C" w14:textId="77777777" w:rsidR="00961EDF" w:rsidRDefault="00961EDF" w:rsidP="00961EDF"/>
    <w:p w14:paraId="2D875D61" w14:textId="77777777" w:rsidR="00961EDF" w:rsidRDefault="00961EDF" w:rsidP="00961EDF">
      <w:r>
        <w:t>OPEX ANUAL (para flujo de caja 25 años)</w:t>
      </w:r>
    </w:p>
    <w:p w14:paraId="3D162B54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13. O&amp;M y limpieza</w:t>
      </w:r>
    </w:p>
    <w:p w14:paraId="16890E3C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14. Seguros operativos</w:t>
      </w:r>
    </w:p>
    <w:p w14:paraId="22F3C9AC" w14:textId="77777777" w:rsidR="00961EDF" w:rsidRDefault="00961EDF" w:rsidP="00961EDF">
      <w:r>
        <w:t xml:space="preserve">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 xml:space="preserve"> 15. Monitoreo y comunicaciones</w:t>
      </w:r>
    </w:p>
    <w:p w14:paraId="5AFF726D" w14:textId="2903C571" w:rsidR="00961EDF" w:rsidRDefault="00961EDF" w:rsidP="00961EDF">
      <w:r>
        <w:t xml:space="preserve">  └─ 16. Fondos de reposición (inversor, módulos)</w:t>
      </w:r>
    </w:p>
    <w:p w14:paraId="10BA4F1A" w14:textId="77777777" w:rsidR="00961EDF" w:rsidRDefault="00961EDF" w:rsidP="00961EDF"/>
    <w:sectPr w:rsidR="00961ED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90591"/>
    <w:multiLevelType w:val="multilevel"/>
    <w:tmpl w:val="73CCD9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1EF170F"/>
    <w:multiLevelType w:val="multilevel"/>
    <w:tmpl w:val="BE4C1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CA83774"/>
    <w:multiLevelType w:val="multilevel"/>
    <w:tmpl w:val="1A0CA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3593"/>
    <w:rsid w:val="00503520"/>
    <w:rsid w:val="00663593"/>
    <w:rsid w:val="00961EDF"/>
    <w:rsid w:val="00A43B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262921"/>
  <w15:chartTrackingRefBased/>
  <w15:docId w15:val="{39A6C2AF-AA29-44A6-A57E-7014E1861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3063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1035</Words>
  <Characters>5698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Mauricio Alcaraz</dc:creator>
  <cp:keywords/>
  <dc:description/>
  <cp:lastModifiedBy>Mauricio Alcaraz</cp:lastModifiedBy>
  <cp:revision>3</cp:revision>
  <dcterms:created xsi:type="dcterms:W3CDTF">2026-07-30T11:57:00Z</dcterms:created>
  <dcterms:modified xsi:type="dcterms:W3CDTF">2026-07-30T21:31:00Z</dcterms:modified>
</cp:coreProperties>
</file>