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32"/>
        </w:rPr>
        <w:t xml:space="preserve">Tabla comparativa (v2) — Tesis La Salle (app estándar de referencia) vs APP BIPV</w:t>
      </w:r>
    </w:p>
    <w:p>
      <w:r>
        <w:rPr>
          <w:sz w:val="22"/>
        </w:rPr>
        <w:t xml:space="preserve">Caso: Fachadas BAPV Bosques de Castilla, Bogota. Segunda ronda: corrida offline con TMY sintetico determinista (Ineichen, sin red), reemplazando la descarga en vivo de PVGIS de la primera version.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  <w:sz w:val="18"/>
              </w:rPr>
              <w:t xml:space="preserve">Magnitud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  <w:sz w:val="18"/>
              </w:rPr>
              <w:t xml:space="preserve">Tesis / app estándar de referencia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  <w:sz w:val="18"/>
              </w:rPr>
              <w:t xml:space="preserve">APP (offline, TMY sintético)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  <w:sz w:val="18"/>
              </w:rPr>
              <w:t xml:space="preserve">Diferencia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  <w:sz w:val="18"/>
              </w:rPr>
              <w:t xml:space="preserve">Lectura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 xml:space="preserve">Ubicación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Bogotá, Kennedy, Bosques de Castilla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Lat 4.634, Lon -74.148, Alt 2550 m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Coincide con foto/PVGIS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Correcto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 xml:space="preserve">Fachada suroeste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Azimut 249°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249°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0°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Correcto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 xml:space="preserve">Fachada sureste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Azimut 162°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162°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0°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Correcto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 xml:space="preserve">Panel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SunPower Maxeon 3 SPR-MAX3-400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SPR-MAX3-400 reconstruido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Voc/Isc/Pmax 0.0%, Vmp/Imp ~2.2-2.3%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Dentro de tolerancia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 xml:space="preserve">Potencia nominal total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148 x 400 W = 59.2 kWp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140 x 400 W = 56.0 kWp (70+70 por fachada)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-8 módulos, -3.2 kWp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No comparable en energía total (verificado por test)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 xml:space="preserve">Inversores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4 x Fronius Primo 15.0-1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Fronius Primo 15.0-1, eta=0.986, sin P_ac_nom_W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Sin clipping AC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Parcial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 xml:space="preserve">Sombra fachadas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La app estándar de referencia incluye 3.7%/año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estado sombra_cero_calculada, p_shade=0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APP no modela esa sombra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Sin máscara publicada (no "sombra medida = 0")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 xml:space="preserve">Sombra referencia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La app estándar de referencia incluye 1.0%/año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estado sombra_cero_calculada, p_shade=0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APP no modela esa sombra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Sin máscara publicada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 xml:space="preserve">POA horizontal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1,571.3 kWh/m²/año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3,060.94 kWh/m²/año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+1,489.6, +94.8%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No comparable: TMY sintético clear-sky vs. base de la app estándar de referencia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 xml:space="preserve">POA fachada suroeste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858.0 kWh/m²/año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1,497.75 kWh/m²/año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+639.8, +74.6%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No comparable, mismo motivo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 xml:space="preserve">POA fachada sureste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777.3 kWh/m²/año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1,082.85 kWh/m²/año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+305.6, +39.3%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No comparable, mismo motivo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 xml:space="preserve">Orden relativo fachadas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SO &gt; SE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SO &gt; SE (1,497.75 &gt; 1,082.85)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Coincide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Correcto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 xml:space="preserve">Rendimiento normalizado por recurso — referencia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1,393.42 kWh/kWp/año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1,461.48 kWh/kWp/año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+68.06, +4.88%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Residual positivo y acotado (&lt;25%)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 xml:space="preserve">Rendimiento normalizado por recurso — fachadas (prom.)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718.33 kWh/kWp/año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768.53 kWh/kWp/año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+50.20, +6.99%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~2.1 pp por encima del residual de referencia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 xml:space="preserve">PR referencia (óptimo 10° sur)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89.6%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93.0%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+3.4 pp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Sin sombra publicada en ninguno de los dos casos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 xml:space="preserve">PR fachadas (prom. SO/SE)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86.8%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94.0%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+7.2 pp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Coherente con sombra/cableado/mismatch/clipping no modelados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 xml:space="preserve">Energía anual referencia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82,521 kWh/año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No comparable directamente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APP no usa mismo reparto de módulos ni pérdidas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 xml:space="preserve">Energía anual fachadas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42,560 kWh/año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No comparable directamente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140 módulos en APP, 148 en la tesis (test dedicado)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 xml:space="preserve">Energía total del sistema (4 superficies)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No aplica (tesis solo reporta fachadas y referencia)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227,364.6 kWh/año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No comparable: suma de 4 superficies, no solo fachadas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 xml:space="preserve">Reducción por sombreado fachadas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3.7%/año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0% (sin máscara)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-3.7 pp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Dato no reproducible sin máscara publicada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 xml:space="preserve">Reducción por sombreado referencia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1.0%/año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0% (sin máscara)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-1.0 pp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Dato no reproducible sin máscara publicada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 xml:space="preserve">Base meteorológica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No declarada por la app estándar de referencia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TMY sintético Ineichen (clear-sky, offline)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No comparable, distinta fuente de recurso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 xml:space="preserve">Determinismo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No aplica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Confirmado: mismo fixture, mismos resultados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Verificado por test</w:t>
            </w:r>
          </w:p>
        </w:tc>
      </w:tr>
    </w:tbl>
    <w:p>
      <w:r>
        <w:rPr>
          <w:sz w:val="22"/>
        </w:rPr>
        <w:t xml:space="preserve">Resumen (segunda ronda, offline): la APP reproduce exactamente la geometria, el panel y el orden fisico de las fachadas. Los valores absolutos de POA y energia no son comparables porque el TMY sintetico de cielo despejado sobreestima el recurso solar mucho mas que la base meteorologica de la app estándar de referencia, y porque la APP no modela sombra real, cableado, mismatch ni clipping del inversor. Al normalizar por recurso solar, el residual queda en +4.88% (referencia) y +6.99% (fachadas) -- estable frente a la corrida anterior con PVGIS real (+6.0%/+6.8%), lo que respalda que la brecha proviene de perdidas de la app estándar de referencia no modeladas, no de un error del motor fisico. No se alcanza paridad numerica exacta: faltan la mascara angular de sombra, el reparto real de los 148 modulos por fachada y la base meteorologica de la app estándar de referencia.</w:t>
      </w:r>
    </w:p>
    <w:sectPr>
      <w:pgSz w:w="16838" w:h="11906" w:orient="landscape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