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 Calculadora BIPV</w:t>
      </w:r>
    </w:p>
    <w:p>
      <w:pPr>
        <w:pStyle w:val="Heading2"/>
      </w:pPr>
      <w:r>
        <w:t>Innovación Química / SolTech Energy</w:t>
      </w:r>
    </w:p>
    <w:p>
      <w:r>
        <w:rPr>
          <w:b/>
        </w:rPr>
        <w:t>Versión: Julio 2026  |  URL: calc.innovacionquimica.com.co</w:t>
      </w:r>
    </w:p>
    <w:p>
      <w:r>
        <w:br w:type="page"/>
      </w:r>
    </w:p>
    <w:p>
      <w:pPr>
        <w:pStyle w:val="Heading1"/>
      </w:pPr>
      <w:r>
        <w:rPr>
          <w:rFonts w:ascii="Calibri" w:hAnsi="Calibri"/>
        </w:rPr>
        <w:t>1. Descripción general</w:t>
      </w:r>
    </w:p>
    <w:p>
      <w:r>
        <w:t>La Calculadora BIPV es una herramienta de simulación fotovoltaica especializada en sistemas integrados en edificios (Building-Integrated Photovoltaics). Diseñada para proyectos en Colombia con paneles SolTech (ASP-ST1-T40) e inversores Growatt.</w:t>
      </w:r>
    </w:p>
    <w:p>
      <w:pPr>
        <w:pStyle w:val="Heading2"/>
      </w:pPr>
      <w:r>
        <w:rPr>
          <w:rFonts w:ascii="Calibri" w:hAnsi="Calibri"/>
        </w:rPr>
        <w:t>Tecnologías simuladas</w:t>
      </w:r>
    </w:p>
    <w:p>
      <w:pPr>
        <w:pStyle w:val="ListBullet"/>
      </w:pPr>
      <w:r>
        <w:t>Paneles monocristalinos BIPV de fachada (ASP-ST1-T40, 200 Wp)</w:t>
      </w:r>
    </w:p>
    <w:p>
      <w:pPr>
        <w:pStyle w:val="ListBullet"/>
      </w:pPr>
      <w:r>
        <w:t>Inversores Growatt (catálogo desde Excel con motor de emparejamiento automático)</w:t>
      </w:r>
    </w:p>
    <w:p>
      <w:pPr>
        <w:pStyle w:val="ListBullet"/>
      </w:pPr>
      <w:r>
        <w:t>Baterías de litio (catálogo configurable)</w:t>
      </w:r>
    </w:p>
    <w:p>
      <w:pPr>
        <w:pStyle w:val="ListBullet"/>
      </w:pPr>
      <w:r>
        <w:t>Modelo óptico completo: IAM, soiling, efecto térmico confinado BIPV</w:t>
      </w:r>
    </w:p>
    <w:p>
      <w:pPr>
        <w:pStyle w:val="ListBullet"/>
      </w:pPr>
      <w:r>
        <w:t>Modelo eléctrico completo: bypass diodes bajo sombra parcial</w:t>
      </w:r>
    </w:p>
    <w:p>
      <w:r>
        <w:br w:type="page"/>
      </w:r>
    </w:p>
    <w:p>
      <w:pPr>
        <w:pStyle w:val="Heading1"/>
      </w:pPr>
      <w:r>
        <w:rPr>
          <w:rFonts w:ascii="Calibri" w:hAnsi="Calibri"/>
        </w:rPr>
        <w:t>3. Página 1 — Proyecto  ★★ ACTUALIZADO</w:t>
      </w:r>
    </w:p>
    <w:p>
      <w:r>
        <w:t>Propósito: Registrar los datos básicos del proyecto y configurar el tipo de instalación que determina los parámetros por defecto del sistema (densidad, PR y tilt).</w:t>
      </w:r>
    </w:p>
    <w:p>
      <w:pPr>
        <w:pStyle w:val="Heading2"/>
      </w:pPr>
      <w:r>
        <w:rPr>
          <w:rFonts w:ascii="Calibri" w:hAnsi="Calibri"/>
        </w:rPr>
        <w:t>Campos obligatorios</w:t>
      </w:r>
    </w:p>
    <w:p>
      <w:pPr>
        <w:pStyle w:val="ListBullet"/>
      </w:pPr>
      <w:r>
        <w:t>Nombre del proyecto y empresa cliente</w:t>
      </w:r>
    </w:p>
    <w:p>
      <w:pPr>
        <w:pStyle w:val="ListBullet"/>
      </w:pPr>
      <w:r>
        <w:t>Ciudad (define coordenadas y TMY por defecto)</w:t>
      </w:r>
    </w:p>
    <w:p>
      <w:pPr>
        <w:pStyle w:val="ListBullet"/>
      </w:pPr>
      <w:r>
        <w:t>Tipo de instalación ← nuevo selector clave</w:t>
      </w:r>
    </w:p>
    <w:p>
      <w:pPr>
        <w:pStyle w:val="Heading2"/>
      </w:pPr>
      <w:r>
        <w:rPr>
          <w:rFonts w:ascii="Calibri" w:hAnsi="Calibri"/>
        </w:rPr>
        <w:t>★ Selector de Tipo de instalación (NUEVO)</w:t>
      </w:r>
    </w:p>
    <w:p>
      <w:r>
        <w:t>El selector "Tipo de instalación" configura automáticamente tres parámetros físicos correctos para cada tecnología: densidad de potencia (W/m²), Performance Ratio (PR) y ángulo de inclinación (tilt) en Página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Densidad (W/m²)</w:t>
            </w:r>
          </w:p>
        </w:tc>
        <w:tc>
          <w:tcPr>
            <w:tcW w:type="dxa" w:w="1728"/>
          </w:tcPr>
          <w:p>
            <w:r>
              <w:rPr>
                <w:b/>
              </w:rPr>
              <w:t>PR típico</w:t>
            </w:r>
          </w:p>
        </w:tc>
        <w:tc>
          <w:tcPr>
            <w:tcW w:type="dxa" w:w="1728"/>
          </w:tcPr>
          <w:p>
            <w:r>
              <w:rPr>
                <w:b/>
              </w:rPr>
              <w:t>Tilt por defecto</w:t>
            </w:r>
          </w:p>
        </w:tc>
        <w:tc>
          <w:tcPr>
            <w:tcW w:type="dxa" w:w="1728"/>
          </w:tcPr>
          <w:p>
            <w:r>
              <w:rPr>
                <w:b/>
              </w:rPr>
              <w:t>Razón del tilt</w:t>
            </w:r>
          </w:p>
        </w:tc>
      </w:tr>
      <w:tr>
        <w:tc>
          <w:tcPr>
            <w:tcW w:type="dxa" w:w="1728"/>
          </w:tcPr>
          <w:p>
            <w:r>
              <w:t>🏢 Fachada BIPV</w:t>
            </w:r>
          </w:p>
        </w:tc>
        <w:tc>
          <w:tcPr>
            <w:tcW w:type="dxa" w:w="1728"/>
          </w:tcPr>
          <w:p>
            <w:r>
              <w:t>80 – 180</w:t>
            </w:r>
          </w:p>
        </w:tc>
        <w:tc>
          <w:tcPr>
            <w:tcW w:type="dxa" w:w="1728"/>
          </w:tcPr>
          <w:p>
            <w:r>
              <w:t>0.65</w:t>
            </w:r>
          </w:p>
        </w:tc>
        <w:tc>
          <w:tcPr>
            <w:tcW w:type="dxa" w:w="1728"/>
          </w:tcPr>
          <w:p>
            <w:r>
              <w:t>90°</w:t>
            </w:r>
          </w:p>
        </w:tc>
        <w:tc>
          <w:tcPr>
            <w:tcW w:type="dxa" w:w="1728"/>
          </w:tcPr>
          <w:p>
            <w:r>
              <w:t>Panel vertical en muro</w:t>
            </w:r>
          </w:p>
        </w:tc>
      </w:tr>
      <w:tr>
        <w:tc>
          <w:tcPr>
            <w:tcW w:type="dxa" w:w="1728"/>
          </w:tcPr>
          <w:p>
            <w:r>
              <w:t>🏠 Techo inclinado BIPV</w:t>
            </w:r>
          </w:p>
        </w:tc>
        <w:tc>
          <w:tcPr>
            <w:tcW w:type="dxa" w:w="1728"/>
          </w:tcPr>
          <w:p>
            <w:r>
              <w:t>100 – 200</w:t>
            </w:r>
          </w:p>
        </w:tc>
        <w:tc>
          <w:tcPr>
            <w:tcW w:type="dxa" w:w="1728"/>
          </w:tcPr>
          <w:p>
            <w:r>
              <w:t>0.75</w:t>
            </w:r>
          </w:p>
        </w:tc>
        <w:tc>
          <w:tcPr>
            <w:tcW w:type="dxa" w:w="1728"/>
          </w:tcPr>
          <w:p>
            <w:r>
              <w:t>15°</w:t>
            </w:r>
          </w:p>
        </w:tc>
        <w:tc>
          <w:tcPr>
            <w:tcW w:type="dxa" w:w="1728"/>
          </w:tcPr>
          <w:p>
            <w:r>
              <w:t>Inclinación mínima en Colombia</w:t>
            </w:r>
          </w:p>
        </w:tc>
      </w:tr>
      <w:tr>
        <w:tc>
          <w:tcPr>
            <w:tcW w:type="dxa" w:w="1728"/>
          </w:tcPr>
          <w:p>
            <w:r>
              <w:t>⛱️ Pérgola BIPV</w:t>
            </w:r>
          </w:p>
        </w:tc>
        <w:tc>
          <w:tcPr>
            <w:tcW w:type="dxa" w:w="1728"/>
          </w:tcPr>
          <w:p>
            <w:r>
              <w:t>60 – 150</w:t>
            </w:r>
          </w:p>
        </w:tc>
        <w:tc>
          <w:tcPr>
            <w:tcW w:type="dxa" w:w="1728"/>
          </w:tcPr>
          <w:p>
            <w:r>
              <w:t>0.70</w:t>
            </w:r>
          </w:p>
        </w:tc>
        <w:tc>
          <w:tcPr>
            <w:tcW w:type="dxa" w:w="1728"/>
          </w:tcPr>
          <w:p>
            <w:r>
              <w:t>10°</w:t>
            </w:r>
          </w:p>
        </w:tc>
        <w:tc>
          <w:tcPr>
            <w:tcW w:type="dxa" w:w="1728"/>
          </w:tcPr>
          <w:p>
            <w:r>
              <w:t>Estructura casi horizontal</w:t>
            </w:r>
          </w:p>
        </w:tc>
      </w:tr>
      <w:tr>
        <w:tc>
          <w:tcPr>
            <w:tcW w:type="dxa" w:w="1728"/>
          </w:tcPr>
          <w:p>
            <w:r>
              <w:t>🏗️ Marquesina BIPV</w:t>
            </w:r>
          </w:p>
        </w:tc>
        <w:tc>
          <w:tcPr>
            <w:tcW w:type="dxa" w:w="1728"/>
          </w:tcPr>
          <w:p>
            <w:r>
              <w:t>70 – 160</w:t>
            </w:r>
          </w:p>
        </w:tc>
        <w:tc>
          <w:tcPr>
            <w:tcW w:type="dxa" w:w="1728"/>
          </w:tcPr>
          <w:p>
            <w:r>
              <w:t>0.68</w:t>
            </w:r>
          </w:p>
        </w:tc>
        <w:tc>
          <w:tcPr>
            <w:tcW w:type="dxa" w:w="1728"/>
          </w:tcPr>
          <w:p>
            <w:r>
              <w:t>30°</w:t>
            </w:r>
          </w:p>
        </w:tc>
        <w:tc>
          <w:tcPr>
            <w:tcW w:type="dxa" w:w="1728"/>
          </w:tcPr>
          <w:p>
            <w:r>
              <w:t>Voladizo estándar</w:t>
            </w:r>
          </w:p>
        </w:tc>
      </w:tr>
      <w:tr>
        <w:tc>
          <w:tcPr>
            <w:tcW w:type="dxa" w:w="1728"/>
          </w:tcPr>
          <w:p>
            <w:r>
              <w:t>🏚️ Techo plano</w:t>
            </w:r>
          </w:p>
        </w:tc>
        <w:tc>
          <w:tcPr>
            <w:tcW w:type="dxa" w:w="1728"/>
          </w:tcPr>
          <w:p>
            <w:r>
              <w:t>120 – 220</w:t>
            </w:r>
          </w:p>
        </w:tc>
        <w:tc>
          <w:tcPr>
            <w:tcW w:type="dxa" w:w="1728"/>
          </w:tcPr>
          <w:p>
            <w:r>
              <w:t>0.78</w:t>
            </w:r>
          </w:p>
        </w:tc>
        <w:tc>
          <w:tcPr>
            <w:tcW w:type="dxa" w:w="1728"/>
          </w:tcPr>
          <w:p>
            <w:r>
              <w:t>10°</w:t>
            </w:r>
          </w:p>
        </w:tc>
        <w:tc>
          <w:tcPr>
            <w:tcW w:type="dxa" w:w="1728"/>
          </w:tcPr>
          <w:p>
            <w:r>
              <w:t>Mínimo para escorrentía</w:t>
            </w:r>
          </w:p>
        </w:tc>
      </w:tr>
      <w:tr>
        <w:tc>
          <w:tcPr>
            <w:tcW w:type="dxa" w:w="1728"/>
          </w:tcPr>
          <w:p>
            <w:r>
              <w:t>🌿 Granja FV</w:t>
            </w:r>
          </w:p>
        </w:tc>
        <w:tc>
          <w:tcPr>
            <w:tcW w:type="dxa" w:w="1728"/>
          </w:tcPr>
          <w:p>
            <w:r>
              <w:t>130 – 250</w:t>
            </w:r>
          </w:p>
        </w:tc>
        <w:tc>
          <w:tcPr>
            <w:tcW w:type="dxa" w:w="1728"/>
          </w:tcPr>
          <w:p>
            <w:r>
              <w:t>0.80</w:t>
            </w:r>
          </w:p>
        </w:tc>
        <w:tc>
          <w:tcPr>
            <w:tcW w:type="dxa" w:w="1728"/>
          </w:tcPr>
          <w:p>
            <w:r>
              <w:t>15°</w:t>
            </w:r>
          </w:p>
        </w:tc>
        <w:tc>
          <w:tcPr>
            <w:tcW w:type="dxa" w:w="1728"/>
          </w:tcPr>
          <w:p>
            <w:r>
              <w:t>Óptimo para lat. Colombia</w:t>
            </w:r>
          </w:p>
        </w:tc>
      </w:tr>
    </w:tbl>
    <w:p/>
    <w:p>
      <w:pPr>
        <w:pStyle w:val="Heading3"/>
      </w:pPr>
      <w:r>
        <w:rPr>
          <w:rFonts w:ascii="Calibri" w:hAnsi="Calibri"/>
        </w:rPr>
        <w:t>¿Qué ocurre al cambiar el tipo?</w:t>
      </w:r>
    </w:p>
    <w:p>
      <w:r>
        <w:t>Al seleccionar un tipo de instalación, la app actualiza en cascada:</w:t>
      </w:r>
    </w:p>
    <w:p>
      <w:pPr>
        <w:pStyle w:val="ListBullet"/>
      </w:pPr>
      <w:r>
        <w:t>Densidad (W/m²): slider se mueve al valor central del rango recomendado.</w:t>
      </w:r>
    </w:p>
    <w:p>
      <w:pPr>
        <w:pStyle w:val="ListBullet"/>
      </w:pPr>
      <w:r>
        <w:t>PR: campo actualizado al valor típico de la tecnología.</w:t>
      </w:r>
    </w:p>
    <w:p>
      <w:pPr>
        <w:pStyle w:val="ListBullet"/>
      </w:pPr>
      <w:r>
        <w:t>Tilt: slider en Página 2 — Recurso Solar se inicializa al ángulo correcto.</w:t>
      </w:r>
    </w:p>
    <w:p>
      <w:r>
        <w:t>Si el usuario ajusta manualmente cualquiera de estos valores, sus ajustes se respetan. El reseteo automático ocurre únicamente al cambiar el tipo de instalación.</w:t>
      </w:r>
    </w:p>
    <w:p>
      <w:pPr>
        <w:pStyle w:val="Heading2"/>
      </w:pPr>
      <w:r>
        <w:rPr>
          <w:rFonts w:ascii="Calibri" w:hAnsi="Calibri"/>
        </w:rPr>
        <w:t>★ Alertas reactivas de densidad y PR (NUEVO)</w:t>
      </w:r>
    </w:p>
    <w:p>
      <w:r>
        <w:t>La app valida en tiempo real que densidad y PR sean coherentes con el tipo elegido. Si algún valor está fuera del rango, la alerta aparece inmediatamente al mover el slider — sin necesidad de hacer clic en Guardar. Ejemplos:</w:t>
      </w:r>
    </w:p>
    <w:p>
      <w:r>
        <w:rPr>
          <w:rFonts w:ascii="Courier New" w:hAnsi="Courier New"/>
          <w:sz w:val="18"/>
        </w:rPr>
        <w:t>⚠️ La densidad ingresada (50 W/m²) está fuera del rango recomendado</w:t>
        <w:br/>
        <w:t xml:space="preserve">   para Fachada BIPV (80–180 W/m²). Un valor por debajo del mínimo</w:t>
        <w:br/>
        <w:t xml:space="preserve">   puede subestimar la producción del sistema.</w:t>
      </w:r>
    </w:p>
    <w:p>
      <w:r>
        <w:rPr>
          <w:rFonts w:ascii="Courier New" w:hAnsi="Courier New"/>
          <w:sz w:val="18"/>
        </w:rPr>
        <w:t>⚠️ El PR ingresado (0.90) está por encima del valor típico para Fachada BIPV</w:t>
        <w:br/>
        <w:t xml:space="preserve">   (PR típico: 0.65). Verifica que incluya todas las pérdidas reales:</w:t>
        <w:br/>
        <w:t xml:space="preserve">   ópticas, térmicas, cableado y mismatch.</w:t>
      </w:r>
    </w:p>
    <w:p>
      <w:r>
        <w:t>Las alertas son informativas y NO bloquean el cálculo. Si el valor es intencional (por ejemplo, módulos de alta densidad fuera del rango típico), simplemente ignóralas y continúa. Cuando densidad y PR están dentro del rango, la interfaz está limpia sin ningún mensaje.</w:t>
      </w:r>
    </w:p>
    <w:p>
      <w:pPr>
        <w:pStyle w:val="Heading2"/>
      </w:pPr>
      <w:r>
        <w:rPr>
          <w:rFonts w:ascii="Calibri" w:hAnsi="Calibri"/>
        </w:rPr>
        <w:t>Panel "Datos del sitio" (actualización en tiempo real)</w:t>
      </w:r>
    </w:p>
    <w:p>
      <w:r>
        <w:t>El panel inferior muestra coordenadas y altitud actualizadas en tiempo real al cambiar ciudad o ajustar coordenadas manualmente. Cuando las coordenadas son del centroide de la ciudad (no del predio exacto), aparece el indicador:</w:t>
        <w:br/>
        <w:t>⚠️ Coordenadas del centroide de la ciudad</w:t>
        <w:br/>
        <w:t>Ajusta las coordenadas al predio real antes de ejecutar la simulación solar.</w:t>
      </w:r>
    </w:p>
    <w:p>
      <w:r>
        <w:br w:type="page"/>
      </w:r>
    </w:p>
    <w:p>
      <w:pPr>
        <w:pStyle w:val="Heading1"/>
      </w:pPr>
      <w:r>
        <w:rPr>
          <w:rFonts w:ascii="Calibri" w:hAnsi="Calibri"/>
        </w:rPr>
        <w:t>4. Página 2 — Recurso Solar  ★ ACTUALIZADO</w:t>
      </w:r>
    </w:p>
    <w:p>
      <w:r>
        <w:t>Propósito: Cargar el archivo climático TMY y calcular la irradiancia sobre el plano de instalación (POA) hora a hora durante las 8 760 horas del año.</w:t>
      </w:r>
    </w:p>
    <w:p>
      <w:pPr>
        <w:pStyle w:val="Heading2"/>
      </w:pPr>
      <w:r>
        <w:rPr>
          <w:rFonts w:ascii="Calibri" w:hAnsi="Calibri"/>
        </w:rPr>
        <w:t>Pasos</w:t>
      </w:r>
    </w:p>
    <w:p>
      <w:pPr>
        <w:pStyle w:val="ListNumber"/>
      </w:pPr>
      <w:r>
        <w:t>Cargar archivo EPW: descarga de energyplus.net/weather, arrastra al uploader.</w:t>
      </w:r>
    </w:p>
    <w:p>
      <w:pPr>
        <w:pStyle w:val="ListNumber"/>
      </w:pPr>
      <w:r>
        <w:t>Configurar geometría: orientación (azimuth), inclinación (tilt) — ver tabla abajo —, área de instalación (m²).</w:t>
      </w:r>
    </w:p>
    <w:p>
      <w:pPr>
        <w:pStyle w:val="ListNumber"/>
      </w:pPr>
      <w:r>
        <w:t>Ejecutar cálculo: clic en "Calcular POA".</w:t>
      </w:r>
    </w:p>
    <w:p>
      <w:r>
        <w:t>Nota timezone: el diagrama solar usa UTC. Para Colombia (UTC−5), el mediodía solar aparece a las 17:00 UTC en el diagrama.</w:t>
      </w:r>
    </w:p>
    <w:p>
      <w:pPr>
        <w:pStyle w:val="Heading2"/>
      </w:pPr>
      <w:r>
        <w:rPr>
          <w:rFonts w:ascii="Calibri" w:hAnsi="Calibri"/>
        </w:rPr>
        <w:t>★ Tilt por defecto según tipo de instalación (NUEVO)</w:t>
      </w:r>
    </w:p>
    <w:p>
      <w:r>
        <w:t>Cuando llegas a esta página después de configurar el tipo en Página 1, el slider de inclinación (tilt) ya está pre-cargado con el ángulo físicamente correcto: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Tipo de instalación</w:t>
            </w:r>
          </w:p>
        </w:tc>
        <w:tc>
          <w:tcPr>
            <w:tcW w:type="dxa" w:w="2880"/>
          </w:tcPr>
          <w:p>
            <w:r>
              <w:rPr>
                <w:b/>
              </w:rPr>
              <w:t>Tilt pre-cargado</w:t>
            </w:r>
          </w:p>
        </w:tc>
        <w:tc>
          <w:tcPr>
            <w:tcW w:type="dxa" w:w="2880"/>
          </w:tcPr>
          <w:p>
            <w:r>
              <w:rPr>
                <w:b/>
              </w:rPr>
              <w:t>Referencia física</w:t>
            </w:r>
          </w:p>
        </w:tc>
      </w:tr>
      <w:tr>
        <w:tc>
          <w:tcPr>
            <w:tcW w:type="dxa" w:w="2880"/>
          </w:tcPr>
          <w:p>
            <w:r>
              <w:t>🏢 Fachada BIPV</w:t>
            </w:r>
          </w:p>
        </w:tc>
        <w:tc>
          <w:tcPr>
            <w:tcW w:type="dxa" w:w="2880"/>
          </w:tcPr>
          <w:p>
            <w:r>
              <w:t>90°</w:t>
            </w:r>
          </w:p>
        </w:tc>
        <w:tc>
          <w:tcPr>
            <w:tcW w:type="dxa" w:w="2880"/>
          </w:tcPr>
          <w:p>
            <w:r>
              <w:t>Panel integrado verticalmente en muro</w:t>
            </w:r>
          </w:p>
        </w:tc>
      </w:tr>
      <w:tr>
        <w:tc>
          <w:tcPr>
            <w:tcW w:type="dxa" w:w="2880"/>
          </w:tcPr>
          <w:p>
            <w:r>
              <w:t>🏠 Techo inclinado BIPV</w:t>
            </w:r>
          </w:p>
        </w:tc>
        <w:tc>
          <w:tcPr>
            <w:tcW w:type="dxa" w:w="2880"/>
          </w:tcPr>
          <w:p>
            <w:r>
              <w:t>15°</w:t>
            </w:r>
          </w:p>
        </w:tc>
        <w:tc>
          <w:tcPr>
            <w:tcW w:type="dxa" w:w="2880"/>
          </w:tcPr>
          <w:p>
            <w:r>
              <w:t>Inclinación mínima típica en Colombia</w:t>
            </w:r>
          </w:p>
        </w:tc>
      </w:tr>
      <w:tr>
        <w:tc>
          <w:tcPr>
            <w:tcW w:type="dxa" w:w="2880"/>
          </w:tcPr>
          <w:p>
            <w:r>
              <w:t>⛱️ Pérgola BIPV</w:t>
            </w:r>
          </w:p>
        </w:tc>
        <w:tc>
          <w:tcPr>
            <w:tcW w:type="dxa" w:w="2880"/>
          </w:tcPr>
          <w:p>
            <w:r>
              <w:t>10°</w:t>
            </w:r>
          </w:p>
        </w:tc>
        <w:tc>
          <w:tcPr>
            <w:tcW w:type="dxa" w:w="2880"/>
          </w:tcPr>
          <w:p>
            <w:r>
              <w:t>Cobertura casi horizontal</w:t>
            </w:r>
          </w:p>
        </w:tc>
      </w:tr>
      <w:tr>
        <w:tc>
          <w:tcPr>
            <w:tcW w:type="dxa" w:w="2880"/>
          </w:tcPr>
          <w:p>
            <w:r>
              <w:t>🏗️ Marquesina BIPV</w:t>
            </w:r>
          </w:p>
        </w:tc>
        <w:tc>
          <w:tcPr>
            <w:tcW w:type="dxa" w:w="2880"/>
          </w:tcPr>
          <w:p>
            <w:r>
              <w:t>30°</w:t>
            </w:r>
          </w:p>
        </w:tc>
        <w:tc>
          <w:tcPr>
            <w:tcW w:type="dxa" w:w="2880"/>
          </w:tcPr>
          <w:p>
            <w:r>
              <w:t>Voladizo en ángulo estándar</w:t>
            </w:r>
          </w:p>
        </w:tc>
      </w:tr>
      <w:tr>
        <w:tc>
          <w:tcPr>
            <w:tcW w:type="dxa" w:w="2880"/>
          </w:tcPr>
          <w:p>
            <w:r>
              <w:t>🏚️ Techo plano</w:t>
            </w:r>
          </w:p>
        </w:tc>
        <w:tc>
          <w:tcPr>
            <w:tcW w:type="dxa" w:w="2880"/>
          </w:tcPr>
          <w:p>
            <w:r>
              <w:t>10°</w:t>
            </w:r>
          </w:p>
        </w:tc>
        <w:tc>
          <w:tcPr>
            <w:tcW w:type="dxa" w:w="2880"/>
          </w:tcPr>
          <w:p>
            <w:r>
              <w:t>Mínimo para escorrentía</w:t>
            </w:r>
          </w:p>
        </w:tc>
      </w:tr>
      <w:tr>
        <w:tc>
          <w:tcPr>
            <w:tcW w:type="dxa" w:w="2880"/>
          </w:tcPr>
          <w:p>
            <w:r>
              <w:t>🌿 Granja FV</w:t>
            </w:r>
          </w:p>
        </w:tc>
        <w:tc>
          <w:tcPr>
            <w:tcW w:type="dxa" w:w="2880"/>
          </w:tcPr>
          <w:p>
            <w:r>
              <w:t>15°</w:t>
            </w:r>
          </w:p>
        </w:tc>
        <w:tc>
          <w:tcPr>
            <w:tcW w:type="dxa" w:w="2880"/>
          </w:tcPr>
          <w:p>
            <w:r>
              <w:t>Óptimo para latitud Colombia (~5°N)</w:t>
            </w:r>
          </w:p>
        </w:tc>
      </w:tr>
    </w:tbl>
    <w:p/>
    <w:p>
      <w:r>
        <w:t>Un banner informativo muestra el tipo activo y el tilt sugerido al entrar a la página. El slider acepta cualquier ángulo entre 0° y 90°; si el diseño requiere un ángulo diferente al sugerido, ajústalo libremente.</w:t>
        <w:br/>
        <w:br/>
        <w:t>Impacto en el cálculo: el tilt es el parámetro geométrico más sensible en la POA. Una fachada vertical (90°) capta principalmente irradiancia difusa y directa de bajo ángulo solar; un techo plano (10°) capta mucho más irradiancia directa anual. Usar el tilt incorrecto puede producir errores de ±20–30% en la POA anual.</w:t>
      </w:r>
    </w:p>
    <w:p>
      <w:r>
        <w:br w:type="page"/>
      </w:r>
    </w:p>
    <w:p>
      <w:pPr>
        <w:pStyle w:val="Heading1"/>
      </w:pPr>
      <w:r>
        <w:rPr>
          <w:rFonts w:ascii="Calibri" w:hAnsi="Calibri"/>
        </w:rPr>
        <w:t>17. Preguntas frecuentes</w:t>
      </w:r>
    </w:p>
    <w:p>
      <w:r>
        <w:rPr>
          <w:b/>
        </w:rPr>
        <w:t>P: ¿El CSV de la Calculadora de Sombreado cubre las 8 760 horas del año?</w:t>
      </w:r>
    </w:p>
    <w:p>
      <w:r>
        <w:t>R: No. El CSV cubre solo los días críticos (~60–150 horas). El modo mensual replica el patrón de cada día crítico a todos los días del mismo mes, elevando la cobertura al 25–40% del año.</w:t>
      </w:r>
    </w:p>
    <w:p/>
    <w:p>
      <w:r>
        <w:rPr>
          <w:b/>
        </w:rPr>
        <w:t>P: ¿Por qué mi TIR es diferente antes y después de ejecutar bypass?</w:t>
      </w:r>
    </w:p>
    <w:p>
      <w:r>
        <w:t>R: Con bypass activo, Página 7 usa E_ac_bypass (menor que E_ac base). Menos energía = menos ahorro = TIR levemente menor. Para proyectos con &lt;2% de pérdida bypass, el impacto en TIR es &lt;0.3 puntos porcentuales.</w:t>
      </w:r>
    </w:p>
    <w:p/>
    <w:p>
      <w:r>
        <w:rPr>
          <w:b/>
        </w:rPr>
        <w:t>P: Cambié el tipo a "Granja FV" pero el tilt sigue en 90°. ¿Por qué?</w:t>
      </w:r>
    </w:p>
    <w:p>
      <w:r>
        <w:t>R: El tilt se resetea al valor del nuevo tipo solo si aún no ajustaste manualmente el slider en Página 2 en esta sesión. Si ya lo moviste antes del cambio de tipo, la app respeta tu selección manual. Solución: ve a Página 2 y ajusta el slider a 15°.</w:t>
      </w:r>
    </w:p>
    <w:p/>
    <w:p>
      <w:r>
        <w:rPr>
          <w:b/>
        </w:rPr>
        <w:t>P: Aparece la alerta de densidad fuera de rango pero mi valor es correcto. ¿Puedo continuar?</w:t>
      </w:r>
    </w:p>
    <w:p>
      <w:r>
        <w:t>R: Sí. Las alertas son informativas y no bloquean ningún cálculo. En instalaciones especiales con módulos de alta densidad o estructuras atípicas, los rangos pueden diferir de los típicos. Si el valor es intencional, ignora la alerta y continúa.</w:t>
      </w:r>
    </w:p>
    <w:p/>
    <w:p>
      <w:r>
        <w:rPr>
          <w:b/>
        </w:rPr>
        <w:t>P: ¿Qué pasa si la fachada está inclinada a 75° (no exactamente vertical)?</w:t>
      </w:r>
    </w:p>
    <w:p>
      <w:r>
        <w:t>R: El tilt pre-cargado es 90° para Fachada BIPV, pero puedes moverlo a 75° libremente en Página 2. La app calculará la POA correctamente para cualquier ángulo ingresado.</w:t>
      </w:r>
    </w:p>
    <w:p/>
    <w:p>
      <w:r>
        <w:rPr>
          <w:b/>
        </w:rPr>
        <w:t>P: ¿La alerta de PR considera las pérdidas del Motor Óptico?</w:t>
      </w:r>
    </w:p>
    <w:p>
      <w:r>
        <w:t>R: No. La alerta de PR en Página 1 compara tu entrada con el rango típico global del tipo de instalación. El PR que ingresas es el PR total del sistema. Si ejecutas el Motor Óptico en Página 5b, las correcciones ópticas se aplican sobre la POA y el PR resultante se recalcula con mayor precisión en Página 6.</w:t>
      </w:r>
    </w:p>
    <w:p/>
    <w:p>
      <w:r>
        <w:rPr>
          <w:b/>
        </w:rPr>
        <w:t>P: ¿El PR puede ser mayor de 100%?</w:t>
      </w:r>
    </w:p>
    <w:p>
      <w:r>
        <w:t>R: Sí. En Bogotá (2600 m) o Medellín (1500 m), la temperatura ambiente baja hace que los módulos operen por debajo de 25°C, ganando eficiencia. Esto es correcto según IEC 61724.</w:t>
      </w:r>
    </w:p>
    <w:p/>
    <w:p>
      <w:r>
        <w:rPr>
          <w:b/>
        </w:rPr>
        <w:t>P: ¿Qué es el modo "Motor Óptico vs sin Motor Óptico"?</w:t>
      </w:r>
    </w:p>
    <w:p>
      <w:r>
        <w:t>R: El Motor Óptico aplica correcciones de IAM, soiling y temperatura confinada BIPV. Diferencia típica: 5–12% en la producción final.</w:t>
      </w:r>
    </w:p>
    <w:p/>
    <w:p>
      <w:r>
        <w:br w:type="page"/>
      </w:r>
    </w:p>
    <w:p>
      <w:r>
        <w:rPr>
          <w:i/>
          <w:sz w:val="18"/>
        </w:rPr>
        <w:t>Manual generado el 31 de julio de 2026</w:t>
        <w:br/>
        <w:t>Calculadora BIPV — Innovación Química / SolTech Energy</w:t>
        <w:br/>
        <w:t>Repositorio: github.com/ventas108/calculadora-bipv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