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4F72"/>
          <w:sz w:val="36"/>
        </w:rPr>
        <w:t>FICHA TÉCNICA PRELIMINAR</w:t>
      </w:r>
    </w:p>
    <w:p>
      <w:pPr>
        <w:spacing w:after="40"/>
        <w:jc w:val="center"/>
      </w:pPr>
      <w:r>
        <w:rPr>
          <w:b/>
          <w:i w:val="0"/>
          <w:sz w:val="24"/>
        </w:rPr>
        <w:t>Proyecto Agrivoltaico Urabá — 220,32 kWp DC</w:t>
      </w:r>
    </w:p>
    <w:p>
      <w:pPr>
        <w:spacing w:after="240"/>
        <w:jc w:val="center"/>
      </w:pPr>
      <w:r>
        <w:rPr>
          <w:b w:val="0"/>
          <w:i w:val="0"/>
          <w:color w:val="555555"/>
          <w:sz w:val="19"/>
        </w:rPr>
        <w:t>Versión 2.1 · corrige desfase de timezone del TMY y agrega pérdida IAM · validada contra PVsyst · agosto 2026</w:t>
      </w:r>
    </w:p>
    <w:p>
      <w:pPr>
        <w:spacing w:before="280" w:after="120"/>
      </w:pPr>
      <w:r>
        <w:rPr>
          <w:b/>
          <w:color w:val="1B4F72"/>
          <w:sz w:val="28"/>
        </w:rPr>
        <w:t>1. Sitio, generador FV y estructura</w:t>
      </w:r>
    </w:p>
    <w:p>
      <w:pPr>
        <w:spacing w:before="200" w:after="80"/>
      </w:pPr>
      <w:r>
        <w:rPr>
          <w:b/>
          <w:color w:val="1E8449"/>
          <w:sz w:val="23"/>
        </w:rPr>
        <w:t>Emplazamiento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Ubicación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Apartadó, Urabá antioqueño, Colombia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Coordenadas / altitud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7.884° N, −76.635° O · 30 m s.n.m.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Terreno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3.200 m² (32 m N-S × 100 m E-O)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Uso del suelo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Agrivoltaico — cultivo bajo y entre paneles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Viento / nieve de diseño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30 m/s (por confirmar NSR-10) · 0 kN/m²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8449"/>
          <w:sz w:val="23"/>
        </w:rPr>
        <w:t>Generador fotovoltaico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Módulo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JA Solar JAM66D46-720/LB · bifacial n-type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Potencia / cantidad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720 Wp × 306 módulos = 220,32 kWp DC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Dimensiones / peso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2384 × 1303 × 33 mm · ~38,5 kg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Degradación garantizada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≤1% año 1 · ≤0,4%/año · ~87,8% a 30 años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8449"/>
          <w:sz w:val="23"/>
        </w:rPr>
        <w:t>Configuración eléctrica preliminar (optimizada por simulación)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Arreglo DC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17 strings de 18 módulos (1 por matriz)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Tensión de string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Voc ≈ 882 V · Vmp ≈ 738 V (límite de equipo 1.100–1.500 V)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Corriente por string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Imp ≈ 17,6 A → se requieren entradas MPPT ≥18 A, con 1 string por tracker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Inversores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2 × 80–90 kW AC (clase string, 1.500 V)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Ratio DC/AC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1,22–1,38 · clipping simulado ≤0,11%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Candidatos verificados (~100 kW)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Huawei SUN2000-100KTL-M1 · Sungrow SG110CX · Growatt MAX 100KTL3 LV — penalización &lt;1% frente al óptimo de 80–90 kW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55555"/>
          <w:sz w:val="18"/>
        </w:rPr>
        <w:t>El barrido horario de ratio DC/AC mostró que el pico real del campo es ~184 kW AC; 2×80–90 kW maximiza la TIR y minimiza el LCOE sin pérdida apreciable de energía. La redundancia de 2 equipos conserva ~50% de la producción ante la falla de uno.</w:t>
      </w:r>
    </w:p>
    <w:p>
      <w:pPr>
        <w:spacing w:before="200" w:after="80"/>
      </w:pPr>
      <w:r>
        <w:rPr>
          <w:b/>
          <w:color w:val="1E8449"/>
          <w:sz w:val="23"/>
        </w:rPr>
        <w:t>Estructura y disposición agrivoltaica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Matrices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17 matrices de 2×9 módulos apaisados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Altura libre bajo panel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3,0 m (maquinaria y cultivo)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Inclinación / orientación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10° · azimut Sur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Factor de ocupación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30% — corredores de cultivo ~4 m, pasillos de 2,8 m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Cimentación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Tornillo de tierra + acero ZAM (requiere estudio de suelo)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B4F72"/>
          <w:sz w:val="28"/>
        </w:rPr>
        <w:t>2. Producción estimada (simulación horaria)</w:t>
      </w:r>
    </w:p>
    <w:p>
      <w:pPr>
        <w:spacing w:before="200" w:after="80"/>
      </w:pPr>
      <w:r>
        <w:rPr>
          <w:b/>
          <w:color w:val="1E8449"/>
          <w:sz w:val="23"/>
        </w:rPr>
        <w:t>Método</w:t>
      </w:r>
    </w:p>
    <w:p>
      <w:pPr>
        <w:spacing w:after="120"/>
      </w:pPr>
      <w:r>
        <w:rPr>
          <w:b w:val="0"/>
          <w:i w:val="0"/>
        </w:rPr>
        <w:t>Simulación horaria de 8.760 horas con año meteorológico típico PVGIS para el punto exacto (7.884, −76.635), hora local correcta (America/Bogotá): transposición Hay-Davies al plano de 10° Sur, pérdida por reflexión angular IAM (ASHRAE, vidrio estándar) sobre la componente directa y difusa, temperatura de celda por modelo Faiman, coeficiente de potencia −0,30%/°C, pérdidas DC combinadas del 8% (soiling, mismatch, cableado), eficiencia de inversor 98,2% y recorte (clipping) AC real.</w:t>
      </w:r>
    </w:p>
    <w:p>
      <w:pPr>
        <w:spacing w:after="120"/>
      </w:pPr>
      <w:r>
        <w:rPr>
          <w:b w:val="0"/>
          <w:i/>
        </w:rPr>
        <w:t>Esta cifra corrige la versión anterior de este documento (≈278.600 kWh/año): el script de simulación tenía un desfase de 5 horas entre la irradiancia del TMY (en UTC) y la posición solar (en hora local), y no modelaba la pérdida por reflexión angular (IAM). Ambos se corrigieron y se validaron contra una corrida real de PVsyst para el mismo proyecto: sin ganancia bifacial, la cifra corregida (310.037 kWh/año) queda a 1,6% de PVsyst (315.074 kWh/año) — diferencia menor, ya explicada por pérdidas que PVsyst modela y este motor aún no (nivel de irradiancia, ~0,7%).</w:t>
      </w:r>
    </w:p>
    <w:p>
      <w:pPr>
        <w:spacing w:before="200" w:after="80"/>
      </w:pPr>
      <w:r>
        <w:rPr>
          <w:b/>
          <w:color w:val="1E8449"/>
          <w:sz w:val="23"/>
        </w:rPr>
        <w:t>Resultados anuales — base monofacial (defendible ante banca)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Energía AC año 1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310.000 kWh/año (2×90 kW) / ≈ 309.700 kWh/año (2×80 kW)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Yield específico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1.407 kWh/kWp·año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Performance Ratio (IEC 61724)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85,3%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Pico AC real del campo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184 kW (nunca alcanza los 220,32 kWp nominales)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Clipping con 2×90 kW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0,00% · con 2×80 kW: 0,11%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Producción año 25 (con degradación)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281.600 kWh/año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Energía acumulada en 25 años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7,39 GWh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8449"/>
          <w:sz w:val="23"/>
        </w:rPr>
        <w:t>Sinergia agrivoltaica — ganancia bifacial (validada contra PVsyst)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Suelo libre para cultivo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2.250 m² (70% del terreno)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Ganancia bifacial validada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+7,6% real (PVsyst modo bifacial: altura 3,0 m, pitch 6,6 m, GCR≈0,39, albedo 0,20 pasto verde, φ=0,80)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Energía AC año 1 con bifacial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334.800 kWh/año (2×90 kW) — +24.800 kWh/año sobre la base monofacial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55555"/>
          <w:sz w:val="18"/>
        </w:rPr>
        <w:t>Nota bifacial: se corrió PVsyst en modo bifacial ("Fixed Tilted Plane, Unlimited Sheds") con la geometría real del plano de disposición (altura de montaje 3,0 m, pitch entre filas 6,6 m, GCR≈0,39, albedo 0,20 de pasto verde, factor de bifacialidad del módulo φ=0,80). Resultado: 339.033 kWh/año, ganancia bifacial real +7,6% sobre el caso monofacial de PVsyst (315.074 kWh/año) — muy cerca del +8% que ya usaba este motor. La calculadora con ese +8% da 334.846 kWh/año para el mismo caso, a solo -1,2% de PVsyst. La ganancia bifacial queda validada y puede incluirse en el caso base con confianza.</w:t>
      </w:r>
    </w:p>
    <w:p>
      <w:pPr>
        <w:spacing w:after="160"/>
      </w:pPr>
      <w:r>
        <w:rPr>
          <w:i/>
          <w:color w:val="555555"/>
          <w:sz w:val="18"/>
        </w:rPr>
        <w:t>Nota: la cifra contractual definitiva debe salir de la Calculadora BIPV (Motor IV con la curva del módulo + diodos de bypass si hay sombras) una vez cerrado el layout final.</w:t>
      </w:r>
    </w:p>
    <w:p>
      <w:r>
        <w:br w:type="page"/>
      </w:r>
    </w:p>
    <w:p>
      <w:pPr>
        <w:spacing w:before="280" w:after="120"/>
      </w:pPr>
      <w:r>
        <w:rPr>
          <w:b/>
          <w:color w:val="1B4F72"/>
          <w:sz w:val="28"/>
        </w:rPr>
        <w:t>3. Estimación financiera preliminar</w:t>
      </w:r>
    </w:p>
    <w:p>
      <w:pPr>
        <w:spacing w:before="200" w:after="80"/>
      </w:pPr>
      <w:r>
        <w:rPr>
          <w:b/>
          <w:color w:val="1E8449"/>
          <w:sz w:val="23"/>
        </w:rPr>
        <w:t>Supuestos declarados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TRM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COP 3.118,24/USD — Banco de la República, TRM oficial vigente (datos.gov.co)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Tarifa evitada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950 COP/kWh (EPM, 100% autoconsumo)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Vida útil / degradación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25 años · 0,4% anual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OPEX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10 USD/kWp·año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Precios de inversor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Referencia de mercado — pendiente cotización local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8449"/>
          <w:sz w:val="23"/>
        </w:rPr>
        <w:t>Inversión (sin BOM oficial — rangos de mercado)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Costos duros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0,68 USD/Wp — módulos, estructura elevada 3 m, 2 inversores 80–90 kW, BOS y montaje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Costos blandos (17%)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Ingeniería, trámites UPME/RETIE, interventoría e imprevistos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CAPEX central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USD 177.200 ≈ 0,80 USD/Wp ≈ COP 552,5 millones (a TRM del día)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Rango (±16%)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USD 148.000 – 205.000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8449"/>
          <w:sz w:val="23"/>
        </w:rPr>
        <w:t>Indicadores (simulación horaria + flujo de caja a 25 años) — base monofacial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Ahorro año 1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COP 294,5 millones (310.037 kWh × 950 COP)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TIR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51,7%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VPN (tasa 10%)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USD 635.200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Payback simple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1,9 años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LCOE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≈ 0,072 USD/kWh ≈ 225 COP/kWh (vs tarifa de 950)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55555"/>
          <w:sz w:val="18"/>
        </w:rPr>
        <w:t>Indicadores del caso 2×90 kW AC (CAPEX ≈ USD 177.200), con TRM oficial vigente al generar este documento (COP 3.118,24/USD) — al ser una tasa de mercado, reconfirmarla antes de una decisión de cierre. El caso 2×80 kW da resultados casi idénticos con clipping ligeramente mayor. Si se valida el upside bifacial (+8%), estos indicadores mejoran adicionalmente (ver Informe Final para Evaluador).</w:t>
      </w:r>
    </w:p>
    <w:p>
      <w:pPr>
        <w:spacing w:before="200" w:after="80"/>
      </w:pPr>
      <w:r>
        <w:rPr>
          <w:b/>
          <w:color w:val="1E8449"/>
          <w:sz w:val="23"/>
        </w:rPr>
        <w:t>Beneficios Ley 1715/2014 (no incluidos arriba — mejoran los indicadores)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sz w:val="19"/>
              </w:rPr>
              <w:t>Art. 11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Deducción del 50% de la inversión en el impuesto de renta (hasta 15 años)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Art. 12 / 13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Exclusión de IVA y exención arancelaria de equipos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Art. 14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Depreciación acelerada hasta 33,3% anual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55555"/>
          <w:sz w:val="18"/>
        </w:rPr>
        <w:t>Los indicadores asumen 100% de autoconsumo; si parte de la energía se exporta como excedentes (Res. CREG 174/2021), el retorno se reduce según la tarifa de venta. Pendientes para pasar a ingeniería: estudio de suelo (tornillo de tierra), confirmación de viento NSR-10 y cotizaciones reales de inversores de 80–90 kW y del BOM completo.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 w:val="0"/>
          <w:color w:val="555555"/>
          <w:sz w:val="17"/>
        </w:rPr>
        <w:t>Documento preliminar para cotización — no constituye ingeniería de detalle · Innovación Química · agosto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