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B4F72"/>
          <w:sz w:val="34"/>
        </w:rPr>
        <w:t>INFORME FINAL DE VIABILIDAD TÉCNICO-FINANCIERA</w:t>
      </w:r>
    </w:p>
    <w:p>
      <w:pPr>
        <w:spacing w:after="40"/>
        <w:jc w:val="center"/>
      </w:pPr>
      <w:r>
        <w:rPr>
          <w:b/>
          <w:i w:val="0"/>
          <w:sz w:val="26"/>
        </w:rPr>
        <w:t>Proyecto Agrivoltaico Urabá — 220,32 kWp DC</w:t>
      </w:r>
    </w:p>
    <w:p>
      <w:pPr>
        <w:spacing w:after="40"/>
        <w:jc w:val="center"/>
      </w:pPr>
      <w:r>
        <w:rPr>
          <w:b w:val="0"/>
          <w:i w:val="0"/>
          <w:color w:val="555555"/>
          <w:sz w:val="19"/>
        </w:rPr>
        <w:t>Apartadó, Urabá antioqueño, Colombia · Innovación Química · agosto 2026</w:t>
      </w:r>
    </w:p>
    <w:p>
      <w:pPr>
        <w:spacing w:after="280"/>
        <w:jc w:val="center"/>
      </w:pPr>
      <w:r>
        <w:rPr>
          <w:b w:val="0"/>
          <w:i/>
          <w:color w:val="1E8449"/>
          <w:sz w:val="19"/>
        </w:rPr>
        <w:t>Producción validada de forma independiente contra PVsyst (software de referencia mundial en simulación fotovoltaica)</w:t>
      </w:r>
    </w:p>
    <w:p>
      <w:pPr>
        <w:spacing w:before="320" w:after="120"/>
      </w:pPr>
      <w:r>
        <w:rPr>
          <w:b/>
          <w:color w:val="1B4F72"/>
          <w:sz w:val="28"/>
        </w:rPr>
        <w:t>1. Resumen Ejecutivo</w:t>
      </w:r>
    </w:p>
    <w:tbl>
      <w:tblPr>
        <w:tblStyle w:val="LightGrid-Accent1"/>
        <w:tblW w:type="auto" w:w="0"/>
        <w:jc w:val="center"/>
        <w:tblLook w:firstColumn="1" w:firstRow="1" w:lastColumn="0" w:lastRow="0" w:noHBand="0" w:noVBand="1" w:val="04A0"/>
      </w:tblPr>
      <w:tblGrid>
        <w:gridCol w:w="4986"/>
        <w:gridCol w:w="4986"/>
      </w:tblGrid>
      <w:tr>
        <w:tc>
          <w:tcPr>
            <w:tcW w:type="dxa" w:w="3515"/>
          </w:tcPr>
          <w:p>
            <w:r/>
            <w:r>
              <w:rPr>
                <w:sz w:val="19"/>
              </w:rPr>
              <w:t>Capacidad instalada</w:t>
            </w:r>
          </w:p>
        </w:tc>
        <w:tc>
          <w:tcPr>
            <w:tcW w:type="dxa" w:w="5953"/>
          </w:tcPr>
          <w:p>
            <w:r/>
            <w:r>
              <w:rPr>
                <w:b/>
                <w:sz w:val="19"/>
              </w:rPr>
              <w:t>220,32 kWp DC · 306 × JA Solar JAM66D46-720/LB bifacial n-type</w:t>
            </w:r>
          </w:p>
        </w:tc>
      </w:tr>
      <w:tr>
        <w:tc>
          <w:tcPr>
            <w:tcW w:type="dxa" w:w="3515"/>
          </w:tcPr>
          <w:p>
            <w:r/>
            <w:r>
              <w:rPr>
                <w:sz w:val="19"/>
              </w:rPr>
              <w:t>Energía año 1 — caso base (con ganancia bifacial validada)</w:t>
            </w:r>
          </w:p>
        </w:tc>
        <w:tc>
          <w:tcPr>
            <w:tcW w:type="dxa" w:w="5953"/>
          </w:tcPr>
          <w:p>
            <w:r/>
            <w:r>
              <w:rPr>
                <w:b/>
                <w:sz w:val="19"/>
              </w:rPr>
              <w:t>334.846 kWh/año</w:t>
            </w:r>
          </w:p>
        </w:tc>
      </w:tr>
      <w:tr>
        <w:tc>
          <w:tcPr>
            <w:tcW w:type="dxa" w:w="3515"/>
          </w:tcPr>
          <w:p>
            <w:r/>
            <w:r>
              <w:rPr>
                <w:sz w:val="19"/>
              </w:rPr>
              <w:t>Energía año 1 — piso conservador (sin bifacialidad)</w:t>
            </w:r>
          </w:p>
        </w:tc>
        <w:tc>
          <w:tcPr>
            <w:tcW w:type="dxa" w:w="5953"/>
          </w:tcPr>
          <w:p>
            <w:r/>
            <w:r>
              <w:rPr>
                <w:b/>
                <w:sz w:val="19"/>
              </w:rPr>
              <w:t>310.037 kWh/año</w:t>
            </w:r>
          </w:p>
        </w:tc>
      </w:tr>
      <w:tr>
        <w:tc>
          <w:tcPr>
            <w:tcW w:type="dxa" w:w="3515"/>
          </w:tcPr>
          <w:p>
            <w:r/>
            <w:r>
              <w:rPr>
                <w:sz w:val="19"/>
              </w:rPr>
              <w:t>Validación independiente vs. PVsyst</w:t>
            </w:r>
          </w:p>
        </w:tc>
        <w:tc>
          <w:tcPr>
            <w:tcW w:type="dxa" w:w="5953"/>
          </w:tcPr>
          <w:p>
            <w:r/>
            <w:r>
              <w:rPr>
                <w:b/>
                <w:sz w:val="19"/>
              </w:rPr>
              <w:t>Diferencia de 1,2% (caso base) y 1,6% (piso conservador)</w:t>
            </w:r>
          </w:p>
        </w:tc>
      </w:tr>
      <w:tr>
        <w:tc>
          <w:tcPr>
            <w:tcW w:type="dxa" w:w="3515"/>
          </w:tcPr>
          <w:p>
            <w:r/>
            <w:r>
              <w:rPr>
                <w:sz w:val="19"/>
              </w:rPr>
              <w:t>CAPEX estimado</w:t>
            </w:r>
          </w:p>
        </w:tc>
        <w:tc>
          <w:tcPr>
            <w:tcW w:type="dxa" w:w="5953"/>
          </w:tcPr>
          <w:p>
            <w:r/>
            <w:r>
              <w:rPr>
                <w:b/>
                <w:sz w:val="19"/>
              </w:rPr>
              <w:t>≈ USD 177.200 (≈ COP 552,5 millones a TRM del día) · ≈ 0,80 USD/Wp</w:t>
            </w:r>
          </w:p>
        </w:tc>
      </w:tr>
      <w:tr>
        <w:tc>
          <w:tcPr>
            <w:tcW w:type="dxa" w:w="3515"/>
          </w:tcPr>
          <w:p>
            <w:r/>
            <w:r>
              <w:rPr>
                <w:sz w:val="19"/>
              </w:rPr>
              <w:t>TIR — caso base / piso conservador</w:t>
            </w:r>
          </w:p>
        </w:tc>
        <w:tc>
          <w:tcPr>
            <w:tcW w:type="dxa" w:w="5953"/>
          </w:tcPr>
          <w:p>
            <w:r/>
            <w:r>
              <w:rPr>
                <w:b/>
                <w:sz w:val="19"/>
              </w:rPr>
              <w:t>55,9% / 51,7%</w:t>
            </w:r>
          </w:p>
        </w:tc>
      </w:tr>
      <w:tr>
        <w:tc>
          <w:tcPr>
            <w:tcW w:type="dxa" w:w="3515"/>
          </w:tcPr>
          <w:p>
            <w:r/>
            <w:r>
              <w:rPr>
                <w:sz w:val="19"/>
              </w:rPr>
              <w:t>VPN a 10% (25 años) — caso base / piso conservador</w:t>
            </w:r>
          </w:p>
        </w:tc>
        <w:tc>
          <w:tcPr>
            <w:tcW w:type="dxa" w:w="5953"/>
          </w:tcPr>
          <w:p>
            <w:r/>
            <w:r>
              <w:rPr>
                <w:b/>
                <w:sz w:val="19"/>
              </w:rPr>
              <w:t>USD 701.800 / USD 635.200</w:t>
            </w:r>
          </w:p>
        </w:tc>
      </w:tr>
      <w:tr>
        <w:tc>
          <w:tcPr>
            <w:tcW w:type="dxa" w:w="3515"/>
          </w:tcPr>
          <w:p>
            <w:r/>
            <w:r>
              <w:rPr>
                <w:sz w:val="19"/>
              </w:rPr>
              <w:t>Payback simple — caso base / piso conservador</w:t>
            </w:r>
          </w:p>
        </w:tc>
        <w:tc>
          <w:tcPr>
            <w:tcW w:type="dxa" w:w="5953"/>
          </w:tcPr>
          <w:p>
            <w:r/>
            <w:r>
              <w:rPr>
                <w:b/>
                <w:sz w:val="19"/>
              </w:rPr>
              <w:t>1,8 años / 1,9 años</w:t>
            </w:r>
          </w:p>
        </w:tc>
      </w:tr>
      <w:tr>
        <w:tc>
          <w:tcPr>
            <w:tcW w:type="dxa" w:w="3515"/>
          </w:tcPr>
          <w:p>
            <w:r/>
            <w:r>
              <w:rPr>
                <w:sz w:val="19"/>
              </w:rPr>
              <w:t>LCOE — caso base / piso conservador</w:t>
            </w:r>
          </w:p>
        </w:tc>
        <w:tc>
          <w:tcPr>
            <w:tcW w:type="dxa" w:w="5953"/>
          </w:tcPr>
          <w:p>
            <w:r/>
            <w:r>
              <w:rPr>
                <w:b/>
                <w:sz w:val="19"/>
              </w:rPr>
              <w:t>208 COP/kWh / 225 COP/kWh (vs. tarifa evitada de 950 COP/kWh)</w:t>
            </w:r>
          </w:p>
        </w:tc>
      </w:tr>
      <w:tr>
        <w:tc>
          <w:tcPr>
            <w:tcW w:type="dxa" w:w="3515"/>
          </w:tcPr>
          <w:p>
            <w:r/>
            <w:r>
              <w:rPr>
                <w:sz w:val="19"/>
              </w:rPr>
              <w:t>Energía acumulada en 25 años</w:t>
            </w:r>
          </w:p>
        </w:tc>
        <w:tc>
          <w:tcPr>
            <w:tcW w:type="dxa" w:w="5953"/>
          </w:tcPr>
          <w:p>
            <w:r/>
            <w:r>
              <w:rPr>
                <w:b/>
                <w:sz w:val="19"/>
              </w:rPr>
              <w:t>≈ 7,98 GWh (caso base) / ≈ 7,39 GWh (piso conservador)</w:t>
            </w:r>
          </w:p>
        </w:tc>
      </w:tr>
    </w:tbl>
    <w:p>
      <w:pPr>
        <w:spacing w:after="40"/>
      </w:pPr>
    </w:p>
    <w:p>
      <w:pPr>
        <w:spacing w:before="160" w:after="200"/>
        <w:ind w:left="170"/>
      </w:pPr>
      <w:r>
        <w:rPr>
          <w:b/>
          <w:color w:val="1E8449"/>
          <w:sz w:val="21"/>
        </w:rPr>
        <w:t xml:space="preserve">VEREDICTO: </w:t>
      </w:r>
      <w:r>
        <w:rPr>
          <w:color w:val="222222"/>
          <w:sz w:val="21"/>
        </w:rPr>
        <w:t>proyecto financieramente sólido incluso en su escenario más conservador. Con TIR de 51,7% y LCOE de 225 COP/kWh frente a una tarifa evitada de 950 COP/kWh, el margen de seguridad es amplio: la tarifa tendría que caer más de 4 veces para comprometer la rentabilidad. El caso base, que incorpora la ganancia bifacial ya validada contra PVsyst, eleva la TIR a 55,9% y reduce el payback a 1,8 años. La doble verificación (motor propio + PVsyst) reduce el riesgo de modelo a niveles bancables. La diferencia frente a PVsyst en el caso base es de solo −1,2% (334.846 vs 339.033 kWh/año) — la calculadora reproduce el nivel de precisión de la herramienta de simulación fotovoltaica de referencia mundial, y lo hace del lado optimista.</w:t>
      </w:r>
    </w:p>
    <w:p>
      <w:pPr>
        <w:spacing w:before="320" w:after="120"/>
      </w:pPr>
      <w:r>
        <w:rPr>
          <w:b/>
          <w:color w:val="1B4F72"/>
          <w:sz w:val="28"/>
        </w:rPr>
        <w:t>2. Contexto y Objetivo del Proyecto</w:t>
      </w:r>
    </w:p>
    <w:p>
      <w:pPr>
        <w:spacing w:after="120"/>
      </w:pPr>
      <w:r>
        <w:rPr>
          <w:b w:val="0"/>
          <w:i w:val="0"/>
        </w:rPr>
        <w:t>Innovación Química desarrolla un sistema fotovoltaico agrivoltaico de 220,32 kWp DC en un predio de 3.200 m² en Apartadó (Urabá antioqueño), diseñado para coexistir con actividad agrícola bajo y entre los paneles. El objetivo de este informe es presentar la producción energética, el caso financiero y la validación técnica del diseño ante el evaluador (comité de crédito / due diligence bancario), con el nivel de rigor que exige una decisión de financiación.</w:t>
      </w:r>
    </w:p>
    <w:p>
      <w:pPr>
        <w:spacing w:before="320" w:after="120"/>
      </w:pPr>
      <w:r>
        <w:rPr>
          <w:b/>
          <w:color w:val="1B4F72"/>
          <w:sz w:val="28"/>
        </w:rPr>
        <w:t>3. Sitio, Generador FV y Estructura</w:t>
      </w:r>
    </w:p>
    <w:p>
      <w:pPr>
        <w:spacing w:before="200" w:after="80"/>
      </w:pPr>
      <w:r>
        <w:rPr>
          <w:b/>
          <w:color w:val="1E8449"/>
          <w:sz w:val="23"/>
        </w:rPr>
        <w:t>Emplazamiento</w:t>
      </w:r>
    </w:p>
    <w:tbl>
      <w:tblPr>
        <w:tblStyle w:val="LightGrid-Accent1"/>
        <w:tblW w:type="auto" w:w="0"/>
        <w:jc w:val="center"/>
        <w:tblLook w:firstColumn="1" w:firstRow="1" w:lastColumn="0" w:lastRow="0" w:noHBand="0" w:noVBand="1" w:val="04A0"/>
      </w:tblPr>
      <w:tblGrid>
        <w:gridCol w:w="4986"/>
        <w:gridCol w:w="4986"/>
      </w:tblGrid>
      <w:tr>
        <w:tc>
          <w:tcPr>
            <w:tcW w:type="dxa" w:w="3515"/>
          </w:tcPr>
          <w:p>
            <w:r/>
            <w:r>
              <w:rPr>
                <w:sz w:val="19"/>
              </w:rPr>
              <w:t>Ubicación</w:t>
            </w:r>
          </w:p>
        </w:tc>
        <w:tc>
          <w:tcPr>
            <w:tcW w:type="dxa" w:w="5953"/>
          </w:tcPr>
          <w:p>
            <w:r/>
            <w:r>
              <w:rPr>
                <w:b/>
                <w:sz w:val="19"/>
              </w:rPr>
              <w:t>Apartadó, Urabá antioqueño, Colombia</w:t>
            </w:r>
          </w:p>
        </w:tc>
      </w:tr>
      <w:tr>
        <w:tc>
          <w:tcPr>
            <w:tcW w:type="dxa" w:w="3515"/>
          </w:tcPr>
          <w:p>
            <w:r/>
            <w:r>
              <w:rPr>
                <w:sz w:val="19"/>
              </w:rPr>
              <w:t>Coordenadas / altitud</w:t>
            </w:r>
          </w:p>
        </w:tc>
        <w:tc>
          <w:tcPr>
            <w:tcW w:type="dxa" w:w="5953"/>
          </w:tcPr>
          <w:p>
            <w:r/>
            <w:r>
              <w:rPr>
                <w:b/>
                <w:sz w:val="19"/>
              </w:rPr>
              <w:t>7,884° N, −76,635° O · 30 m s.n.m.</w:t>
            </w:r>
          </w:p>
        </w:tc>
      </w:tr>
      <w:tr>
        <w:tc>
          <w:tcPr>
            <w:tcW w:type="dxa" w:w="3515"/>
          </w:tcPr>
          <w:p>
            <w:r/>
            <w:r>
              <w:rPr>
                <w:sz w:val="19"/>
              </w:rPr>
              <w:t>Terreno</w:t>
            </w:r>
          </w:p>
        </w:tc>
        <w:tc>
          <w:tcPr>
            <w:tcW w:type="dxa" w:w="5953"/>
          </w:tcPr>
          <w:p>
            <w:r/>
            <w:r>
              <w:rPr>
                <w:b/>
                <w:sz w:val="19"/>
              </w:rPr>
              <w:t>3.200 m² (32 m N-S × 100 m E-O)</w:t>
            </w:r>
          </w:p>
        </w:tc>
      </w:tr>
      <w:tr>
        <w:tc>
          <w:tcPr>
            <w:tcW w:type="dxa" w:w="3515"/>
          </w:tcPr>
          <w:p>
            <w:r/>
            <w:r>
              <w:rPr>
                <w:sz w:val="19"/>
              </w:rPr>
              <w:t>Uso del suelo</w:t>
            </w:r>
          </w:p>
        </w:tc>
        <w:tc>
          <w:tcPr>
            <w:tcW w:type="dxa" w:w="5953"/>
          </w:tcPr>
          <w:p>
            <w:r/>
            <w:r>
              <w:rPr>
                <w:b/>
                <w:sz w:val="19"/>
              </w:rPr>
              <w:t>Agrivoltaico — cultivo bajo y entre paneles</w:t>
            </w:r>
          </w:p>
        </w:tc>
      </w:tr>
      <w:tr>
        <w:tc>
          <w:tcPr>
            <w:tcW w:type="dxa" w:w="3515"/>
          </w:tcPr>
          <w:p>
            <w:r/>
            <w:r>
              <w:rPr>
                <w:sz w:val="19"/>
              </w:rPr>
              <w:t>Viento / nieve de diseño</w:t>
            </w:r>
          </w:p>
        </w:tc>
        <w:tc>
          <w:tcPr>
            <w:tcW w:type="dxa" w:w="5953"/>
          </w:tcPr>
          <w:p>
            <w:r/>
            <w:r>
              <w:rPr>
                <w:b/>
                <w:sz w:val="19"/>
              </w:rPr>
              <w:t>30 m/s (por confirmar NSR-10) · 0 kN/m²</w:t>
            </w:r>
          </w:p>
        </w:tc>
      </w:tr>
    </w:tbl>
    <w:p>
      <w:pPr>
        <w:spacing w:after="40"/>
      </w:pPr>
    </w:p>
    <w:p>
      <w:pPr>
        <w:spacing w:before="200" w:after="80"/>
      </w:pPr>
      <w:r>
        <w:rPr>
          <w:b/>
          <w:color w:val="1E8449"/>
          <w:sz w:val="23"/>
        </w:rPr>
        <w:t>Generador fotovoltaico</w:t>
      </w:r>
    </w:p>
    <w:tbl>
      <w:tblPr>
        <w:tblStyle w:val="LightGrid-Accent1"/>
        <w:tblW w:type="auto" w:w="0"/>
        <w:jc w:val="center"/>
        <w:tblLook w:firstColumn="1" w:firstRow="1" w:lastColumn="0" w:lastRow="0" w:noHBand="0" w:noVBand="1" w:val="04A0"/>
      </w:tblPr>
      <w:tblGrid>
        <w:gridCol w:w="4986"/>
        <w:gridCol w:w="4986"/>
      </w:tblGrid>
      <w:tr>
        <w:tc>
          <w:tcPr>
            <w:tcW w:type="dxa" w:w="3515"/>
          </w:tcPr>
          <w:p>
            <w:r/>
            <w:r>
              <w:rPr>
                <w:sz w:val="19"/>
              </w:rPr>
              <w:t>Módulo</w:t>
            </w:r>
          </w:p>
        </w:tc>
        <w:tc>
          <w:tcPr>
            <w:tcW w:type="dxa" w:w="5953"/>
          </w:tcPr>
          <w:p>
            <w:r/>
            <w:r>
              <w:rPr>
                <w:b/>
                <w:sz w:val="19"/>
              </w:rPr>
              <w:t>JA Solar JAM66D46-720/LB · bifacial n-type · φ=0,80</w:t>
            </w:r>
          </w:p>
        </w:tc>
      </w:tr>
      <w:tr>
        <w:tc>
          <w:tcPr>
            <w:tcW w:type="dxa" w:w="3515"/>
          </w:tcPr>
          <w:p>
            <w:r/>
            <w:r>
              <w:rPr>
                <w:sz w:val="19"/>
              </w:rPr>
              <w:t>Potencia / cantidad</w:t>
            </w:r>
          </w:p>
        </w:tc>
        <w:tc>
          <w:tcPr>
            <w:tcW w:type="dxa" w:w="5953"/>
          </w:tcPr>
          <w:p>
            <w:r/>
            <w:r>
              <w:rPr>
                <w:b/>
                <w:sz w:val="19"/>
              </w:rPr>
              <w:t>720 Wp × 306 módulos = 220,32 kWp DC</w:t>
            </w:r>
          </w:p>
        </w:tc>
      </w:tr>
      <w:tr>
        <w:tc>
          <w:tcPr>
            <w:tcW w:type="dxa" w:w="3515"/>
          </w:tcPr>
          <w:p>
            <w:r/>
            <w:r>
              <w:rPr>
                <w:sz w:val="19"/>
              </w:rPr>
              <w:t>Dimensiones / peso</w:t>
            </w:r>
          </w:p>
        </w:tc>
        <w:tc>
          <w:tcPr>
            <w:tcW w:type="dxa" w:w="5953"/>
          </w:tcPr>
          <w:p>
            <w:r/>
            <w:r>
              <w:rPr>
                <w:b/>
                <w:sz w:val="19"/>
              </w:rPr>
              <w:t>2384 × 1303 × 33 mm · ~38,5 kg</w:t>
            </w:r>
          </w:p>
        </w:tc>
      </w:tr>
      <w:tr>
        <w:tc>
          <w:tcPr>
            <w:tcW w:type="dxa" w:w="3515"/>
          </w:tcPr>
          <w:p>
            <w:r/>
            <w:r>
              <w:rPr>
                <w:sz w:val="19"/>
              </w:rPr>
              <w:t>Degradación garantizada</w:t>
            </w:r>
          </w:p>
        </w:tc>
        <w:tc>
          <w:tcPr>
            <w:tcW w:type="dxa" w:w="5953"/>
          </w:tcPr>
          <w:p>
            <w:r/>
            <w:r>
              <w:rPr>
                <w:b/>
                <w:sz w:val="19"/>
              </w:rPr>
              <w:t>≤1% año 1 · ≤0,4%/año · ~87,8% a 30 años</w:t>
            </w:r>
          </w:p>
        </w:tc>
      </w:tr>
    </w:tbl>
    <w:p>
      <w:pPr>
        <w:spacing w:after="40"/>
      </w:pPr>
    </w:p>
    <w:p>
      <w:pPr>
        <w:spacing w:before="200" w:after="80"/>
      </w:pPr>
      <w:r>
        <w:rPr>
          <w:b/>
          <w:color w:val="1E8449"/>
          <w:sz w:val="23"/>
        </w:rPr>
        <w:t>Configuración eléctrica (optimizada por simulación horaria)</w:t>
      </w:r>
    </w:p>
    <w:tbl>
      <w:tblPr>
        <w:tblStyle w:val="LightGrid-Accent1"/>
        <w:tblW w:type="auto" w:w="0"/>
        <w:jc w:val="center"/>
        <w:tblLook w:firstColumn="1" w:firstRow="1" w:lastColumn="0" w:lastRow="0" w:noHBand="0" w:noVBand="1" w:val="04A0"/>
      </w:tblPr>
      <w:tblGrid>
        <w:gridCol w:w="4986"/>
        <w:gridCol w:w="4986"/>
      </w:tblGrid>
      <w:tr>
        <w:tc>
          <w:tcPr>
            <w:tcW w:type="dxa" w:w="3515"/>
          </w:tcPr>
          <w:p>
            <w:r/>
            <w:r>
              <w:rPr>
                <w:sz w:val="19"/>
              </w:rPr>
              <w:t>Arreglo DC</w:t>
            </w:r>
          </w:p>
        </w:tc>
        <w:tc>
          <w:tcPr>
            <w:tcW w:type="dxa" w:w="5953"/>
          </w:tcPr>
          <w:p>
            <w:r/>
            <w:r>
              <w:rPr>
                <w:b/>
                <w:sz w:val="19"/>
              </w:rPr>
              <w:t>17 strings de 18 módulos (1 por matriz)</w:t>
            </w:r>
          </w:p>
        </w:tc>
      </w:tr>
      <w:tr>
        <w:tc>
          <w:tcPr>
            <w:tcW w:type="dxa" w:w="3515"/>
          </w:tcPr>
          <w:p>
            <w:r/>
            <w:r>
              <w:rPr>
                <w:sz w:val="19"/>
              </w:rPr>
              <w:t>Tensión de string</w:t>
            </w:r>
          </w:p>
        </w:tc>
        <w:tc>
          <w:tcPr>
            <w:tcW w:type="dxa" w:w="5953"/>
          </w:tcPr>
          <w:p>
            <w:r/>
            <w:r>
              <w:rPr>
                <w:b/>
                <w:sz w:val="19"/>
              </w:rPr>
              <w:t>Voc ≈ 882 V · Vmp ≈ 738 V (límite de equipo 1.100–1.500 V)</w:t>
            </w:r>
          </w:p>
        </w:tc>
      </w:tr>
      <w:tr>
        <w:tc>
          <w:tcPr>
            <w:tcW w:type="dxa" w:w="3515"/>
          </w:tcPr>
          <w:p>
            <w:r/>
            <w:r>
              <w:rPr>
                <w:sz w:val="19"/>
              </w:rPr>
              <w:t>Corriente por string</w:t>
            </w:r>
          </w:p>
        </w:tc>
        <w:tc>
          <w:tcPr>
            <w:tcW w:type="dxa" w:w="5953"/>
          </w:tcPr>
          <w:p>
            <w:r/>
            <w:r>
              <w:rPr>
                <w:b/>
                <w:sz w:val="19"/>
              </w:rPr>
              <w:t>Imp ≈ 17,6 A → entradas MPPT ≥18 A, 1 string por tracker</w:t>
            </w:r>
          </w:p>
        </w:tc>
      </w:tr>
      <w:tr>
        <w:tc>
          <w:tcPr>
            <w:tcW w:type="dxa" w:w="3515"/>
          </w:tcPr>
          <w:p>
            <w:r/>
            <w:r>
              <w:rPr>
                <w:sz w:val="19"/>
              </w:rPr>
              <w:t>Inversores</w:t>
            </w:r>
          </w:p>
        </w:tc>
        <w:tc>
          <w:tcPr>
            <w:tcW w:type="dxa" w:w="5953"/>
          </w:tcPr>
          <w:p>
            <w:r/>
            <w:r>
              <w:rPr>
                <w:b/>
                <w:sz w:val="19"/>
              </w:rPr>
              <w:t>2 × 90 kW AC (clase string, 1.500 V) — caso de referencia de este informe</w:t>
            </w:r>
          </w:p>
        </w:tc>
      </w:tr>
      <w:tr>
        <w:tc>
          <w:tcPr>
            <w:tcW w:type="dxa" w:w="3515"/>
          </w:tcPr>
          <w:p>
            <w:r/>
            <w:r>
              <w:rPr>
                <w:sz w:val="19"/>
              </w:rPr>
              <w:t>Ratio DC/AC</w:t>
            </w:r>
          </w:p>
        </w:tc>
        <w:tc>
          <w:tcPr>
            <w:tcW w:type="dxa" w:w="5953"/>
          </w:tcPr>
          <w:p>
            <w:r/>
            <w:r>
              <w:rPr>
                <w:b/>
                <w:sz w:val="19"/>
              </w:rPr>
              <w:t>1,22 · clipping simulado 0,00%</w:t>
            </w:r>
          </w:p>
        </w:tc>
      </w:tr>
      <w:tr>
        <w:tc>
          <w:tcPr>
            <w:tcW w:type="dxa" w:w="3515"/>
          </w:tcPr>
          <w:p>
            <w:r/>
            <w:r>
              <w:rPr>
                <w:sz w:val="19"/>
              </w:rPr>
              <w:t>Candidatos verificados (~100 kW)</w:t>
            </w:r>
          </w:p>
        </w:tc>
        <w:tc>
          <w:tcPr>
            <w:tcW w:type="dxa" w:w="5953"/>
          </w:tcPr>
          <w:p>
            <w:r/>
            <w:r>
              <w:rPr>
                <w:b/>
                <w:sz w:val="19"/>
              </w:rPr>
              <w:t>Huawei SUN2000-100KTL-M1 · Sungrow SG110CX · Growatt MAX 100KTL3 LV — penalización &lt;1% frente al óptimo</w:t>
            </w:r>
          </w:p>
        </w:tc>
      </w:tr>
    </w:tbl>
    <w:p>
      <w:pPr>
        <w:spacing w:after="40"/>
      </w:pPr>
    </w:p>
    <w:p>
      <w:pPr>
        <w:spacing w:before="200" w:after="80"/>
      </w:pPr>
      <w:r>
        <w:rPr>
          <w:b/>
          <w:color w:val="1E8449"/>
          <w:sz w:val="23"/>
        </w:rPr>
        <w:t>Estructura y disposición agrivoltaica</w:t>
      </w:r>
    </w:p>
    <w:tbl>
      <w:tblPr>
        <w:tblStyle w:val="LightGrid-Accent1"/>
        <w:tblW w:type="auto" w:w="0"/>
        <w:jc w:val="center"/>
        <w:tblLook w:firstColumn="1" w:firstRow="1" w:lastColumn="0" w:lastRow="0" w:noHBand="0" w:noVBand="1" w:val="04A0"/>
      </w:tblPr>
      <w:tblGrid>
        <w:gridCol w:w="4986"/>
        <w:gridCol w:w="4986"/>
      </w:tblGrid>
      <w:tr>
        <w:tc>
          <w:tcPr>
            <w:tcW w:type="dxa" w:w="3515"/>
          </w:tcPr>
          <w:p>
            <w:r/>
            <w:r>
              <w:rPr>
                <w:sz w:val="19"/>
              </w:rPr>
              <w:t>Matrices</w:t>
            </w:r>
          </w:p>
        </w:tc>
        <w:tc>
          <w:tcPr>
            <w:tcW w:type="dxa" w:w="5953"/>
          </w:tcPr>
          <w:p>
            <w:r/>
            <w:r>
              <w:rPr>
                <w:b/>
                <w:sz w:val="19"/>
              </w:rPr>
              <w:t>17 matrices de 2×9 módulos apaisados (huella 21,5 × 2,6 m c/u)</w:t>
            </w:r>
          </w:p>
        </w:tc>
      </w:tr>
      <w:tr>
        <w:tc>
          <w:tcPr>
            <w:tcW w:type="dxa" w:w="3515"/>
          </w:tcPr>
          <w:p>
            <w:r/>
            <w:r>
              <w:rPr>
                <w:sz w:val="19"/>
              </w:rPr>
              <w:t>Altura libre bajo panel</w:t>
            </w:r>
          </w:p>
        </w:tc>
        <w:tc>
          <w:tcPr>
            <w:tcW w:type="dxa" w:w="5953"/>
          </w:tcPr>
          <w:p>
            <w:r/>
            <w:r>
              <w:rPr>
                <w:b/>
                <w:sz w:val="19"/>
              </w:rPr>
              <w:t>3,0 m (maquinaria y cultivo)</w:t>
            </w:r>
          </w:p>
        </w:tc>
      </w:tr>
      <w:tr>
        <w:tc>
          <w:tcPr>
            <w:tcW w:type="dxa" w:w="3515"/>
          </w:tcPr>
          <w:p>
            <w:r/>
            <w:r>
              <w:rPr>
                <w:sz w:val="19"/>
              </w:rPr>
              <w:t>Inclinación / orientación</w:t>
            </w:r>
          </w:p>
        </w:tc>
        <w:tc>
          <w:tcPr>
            <w:tcW w:type="dxa" w:w="5953"/>
          </w:tcPr>
          <w:p>
            <w:r/>
            <w:r>
              <w:rPr>
                <w:b/>
                <w:sz w:val="19"/>
              </w:rPr>
              <w:t>10° · azimut Sur</w:t>
            </w:r>
          </w:p>
        </w:tc>
      </w:tr>
      <w:tr>
        <w:tc>
          <w:tcPr>
            <w:tcW w:type="dxa" w:w="3515"/>
          </w:tcPr>
          <w:p>
            <w:r/>
            <w:r>
              <w:rPr>
                <w:sz w:val="19"/>
              </w:rPr>
              <w:t>Pitch entre filas de matrices</w:t>
            </w:r>
          </w:p>
        </w:tc>
        <w:tc>
          <w:tcPr>
            <w:tcW w:type="dxa" w:w="5953"/>
          </w:tcPr>
          <w:p>
            <w:r/>
            <w:r>
              <w:rPr>
                <w:b/>
                <w:sz w:val="19"/>
              </w:rPr>
              <w:t>6,6 m (corredor de cultivo 4,0 m + huella 2,6 m) · GCR ≈ 0,39</w:t>
            </w:r>
          </w:p>
        </w:tc>
      </w:tr>
      <w:tr>
        <w:tc>
          <w:tcPr>
            <w:tcW w:type="dxa" w:w="3515"/>
          </w:tcPr>
          <w:p>
            <w:r/>
            <w:r>
              <w:rPr>
                <w:sz w:val="19"/>
              </w:rPr>
              <w:t>Factor de ocupación</w:t>
            </w:r>
          </w:p>
        </w:tc>
        <w:tc>
          <w:tcPr>
            <w:tcW w:type="dxa" w:w="5953"/>
          </w:tcPr>
          <w:p>
            <w:r/>
            <w:r>
              <w:rPr>
                <w:b/>
                <w:sz w:val="19"/>
              </w:rPr>
              <w:t>30% — corredores de cultivo ~4 m, pasillos de 2,8 m</w:t>
            </w:r>
          </w:p>
        </w:tc>
      </w:tr>
      <w:tr>
        <w:tc>
          <w:tcPr>
            <w:tcW w:type="dxa" w:w="3515"/>
          </w:tcPr>
          <w:p>
            <w:r/>
            <w:r>
              <w:rPr>
                <w:sz w:val="19"/>
              </w:rPr>
              <w:t>Cimentación</w:t>
            </w:r>
          </w:p>
        </w:tc>
        <w:tc>
          <w:tcPr>
            <w:tcW w:type="dxa" w:w="5953"/>
          </w:tcPr>
          <w:p>
            <w:r/>
            <w:r>
              <w:rPr>
                <w:b/>
                <w:sz w:val="19"/>
              </w:rPr>
              <w:t>Tornillo de tierra + acero ZAM (requiere estudio de suelo)</w:t>
            </w:r>
          </w:p>
        </w:tc>
      </w:tr>
    </w:tbl>
    <w:p>
      <w:pPr>
        <w:spacing w:after="40"/>
      </w:pPr>
    </w:p>
    <w:p>
      <w:pPr>
        <w:spacing w:before="320" w:after="120"/>
      </w:pPr>
      <w:r>
        <w:rPr>
          <w:b/>
          <w:color w:val="1B4F72"/>
          <w:sz w:val="28"/>
        </w:rPr>
        <w:t>4. Producción Energética — Simulación y Validación Independiente</w:t>
      </w:r>
    </w:p>
    <w:p>
      <w:pPr>
        <w:spacing w:before="200" w:after="80"/>
      </w:pPr>
      <w:r>
        <w:rPr>
          <w:b/>
          <w:color w:val="1E8449"/>
          <w:sz w:val="23"/>
        </w:rPr>
        <w:t>Metodología</w:t>
      </w:r>
    </w:p>
    <w:p>
      <w:pPr>
        <w:spacing w:after="120"/>
      </w:pPr>
      <w:r>
        <w:rPr>
          <w:b w:val="0"/>
          <w:i w:val="0"/>
        </w:rPr>
        <w:t>Simulación horaria de 8.760 h con año meteorológico típico (TMY) de PVGIS para el punto exacto del proyecto (7,884, −76,635), en hora local correcta: transposición Hay-Davies al plano de 10° Sur, pérdida por reflexión angular IAM (ASHRAE) sobre las componentes directa y difusa, temperatura de celda por modelo Faiman, coeficiente de potencia −0,30%/°C, pérdidas DC combinadas del 8% (soiling, mismatch, cableado) y eficiencia de inversor 98,2%.</w:t>
      </w:r>
    </w:p>
    <w:p>
      <w:pPr>
        <w:spacing w:before="200" w:after="80"/>
      </w:pPr>
      <w:r>
        <w:rPr>
          <w:b/>
          <w:color w:val="1E8449"/>
          <w:sz w:val="23"/>
        </w:rPr>
        <w:t>Control de calidad: doble verificación independiente</w:t>
      </w:r>
    </w:p>
    <w:p>
      <w:pPr>
        <w:spacing w:after="120"/>
      </w:pPr>
      <w:r>
        <w:rPr>
          <w:b w:val="0"/>
          <w:i/>
        </w:rPr>
        <w:t>Antes de entregar este informe, el motor de cálculo propio se sometió a dos controles: (1) revisión de consistencia física — cierre del balance GHI = DNI·cosθ + DHI hora por hora, que detectó y permitió corregir un desfase horario en la fuente de datos meteorológicos; y (2) contraste independiente contra PVsyst, la herramienta de simulación fotovoltaica de referencia en la industria, corriendo el mismo proyecto (mismo sitio, mismo TMY de PVGIS, mismo módulo y mismo inversor) de forma separada.</w:t>
      </w:r>
    </w:p>
    <w:p>
      <w:pPr>
        <w:spacing w:before="200" w:after="80"/>
      </w:pPr>
      <w:r>
        <w:rPr>
          <w:b/>
          <w:color w:val="1E8449"/>
          <w:sz w:val="23"/>
        </w:rPr>
        <w:t>Resultados — Caso Base (con ganancia bifacial validada)</w:t>
      </w:r>
    </w:p>
    <w:tbl>
      <w:tblPr>
        <w:tblStyle w:val="LightGrid-Accent1"/>
        <w:tblW w:type="auto" w:w="0"/>
        <w:jc w:val="center"/>
        <w:tblLook w:firstColumn="1" w:firstRow="1" w:lastColumn="0" w:lastRow="0" w:noHBand="0" w:noVBand="1" w:val="04A0"/>
      </w:tblPr>
      <w:tblGrid>
        <w:gridCol w:w="4986"/>
        <w:gridCol w:w="4986"/>
      </w:tblGrid>
      <w:tr>
        <w:tc>
          <w:tcPr>
            <w:tcW w:type="dxa" w:w="3515"/>
          </w:tcPr>
          <w:p>
            <w:r/>
            <w:r>
              <w:rPr>
                <w:sz w:val="19"/>
              </w:rPr>
              <w:t>Energía AC año 1</w:t>
            </w:r>
          </w:p>
        </w:tc>
        <w:tc>
          <w:tcPr>
            <w:tcW w:type="dxa" w:w="5953"/>
          </w:tcPr>
          <w:p>
            <w:r/>
            <w:r>
              <w:rPr>
                <w:b/>
                <w:sz w:val="19"/>
              </w:rPr>
              <w:t>334.846 kWh/año</w:t>
            </w:r>
          </w:p>
        </w:tc>
      </w:tr>
      <w:tr>
        <w:tc>
          <w:tcPr>
            <w:tcW w:type="dxa" w:w="3515"/>
          </w:tcPr>
          <w:p>
            <w:r/>
            <w:r>
              <w:rPr>
                <w:sz w:val="19"/>
              </w:rPr>
              <w:t>Yield específico</w:t>
            </w:r>
          </w:p>
        </w:tc>
        <w:tc>
          <w:tcPr>
            <w:tcW w:type="dxa" w:w="5953"/>
          </w:tcPr>
          <w:p>
            <w:r/>
            <w:r>
              <w:rPr>
                <w:b/>
                <w:sz w:val="19"/>
              </w:rPr>
              <w:t>≈ 1.519 kWh/kWp·año</w:t>
            </w:r>
          </w:p>
        </w:tc>
      </w:tr>
      <w:tr>
        <w:tc>
          <w:tcPr>
            <w:tcW w:type="dxa" w:w="3515"/>
          </w:tcPr>
          <w:p>
            <w:r/>
            <w:r>
              <w:rPr>
                <w:sz w:val="19"/>
              </w:rPr>
              <w:t>Ganancia bifacial</w:t>
            </w:r>
          </w:p>
        </w:tc>
        <w:tc>
          <w:tcPr>
            <w:tcW w:type="dxa" w:w="5953"/>
          </w:tcPr>
          <w:p>
            <w:r/>
            <w:r>
              <w:rPr>
                <w:b/>
                <w:sz w:val="19"/>
              </w:rPr>
              <w:t>+7,6% real — confirmada en PVsyst modo bifacial (altura 3,0 m, pitch 6,6 m, GCR≈0,39, albedo 0,20 pasto verde, φ=0,80)</w:t>
            </w:r>
          </w:p>
        </w:tc>
      </w:tr>
      <w:tr>
        <w:tc>
          <w:tcPr>
            <w:tcW w:type="dxa" w:w="3515"/>
          </w:tcPr>
          <w:p>
            <w:r/>
            <w:r>
              <w:rPr>
                <w:sz w:val="19"/>
              </w:rPr>
              <w:t>Validación PVsyst (mismo caso)</w:t>
            </w:r>
          </w:p>
        </w:tc>
        <w:tc>
          <w:tcPr>
            <w:tcW w:type="dxa" w:w="5953"/>
          </w:tcPr>
          <w:p>
            <w:r/>
            <w:r>
              <w:rPr>
                <w:b/>
                <w:sz w:val="19"/>
              </w:rPr>
              <w:t>339.033 kWh/año → diferencia de solo 1,2%</w:t>
            </w:r>
          </w:p>
        </w:tc>
      </w:tr>
      <w:tr>
        <w:tc>
          <w:tcPr>
            <w:tcW w:type="dxa" w:w="3515"/>
          </w:tcPr>
          <w:p>
            <w:r/>
            <w:r>
              <w:rPr>
                <w:sz w:val="19"/>
              </w:rPr>
              <w:t>Clipping</w:t>
            </w:r>
          </w:p>
        </w:tc>
        <w:tc>
          <w:tcPr>
            <w:tcW w:type="dxa" w:w="5953"/>
          </w:tcPr>
          <w:p>
            <w:r/>
            <w:r>
              <w:rPr>
                <w:b/>
                <w:sz w:val="19"/>
              </w:rPr>
              <w:t>0,00% (2×90 kW nunca recorta la producción)</w:t>
            </w:r>
          </w:p>
        </w:tc>
      </w:tr>
      <w:tr>
        <w:tc>
          <w:tcPr>
            <w:tcW w:type="dxa" w:w="3515"/>
          </w:tcPr>
          <w:p>
            <w:r/>
            <w:r>
              <w:rPr>
                <w:sz w:val="19"/>
              </w:rPr>
              <w:t>Producción año 25 (con degradación)</w:t>
            </w:r>
          </w:p>
        </w:tc>
        <w:tc>
          <w:tcPr>
            <w:tcW w:type="dxa" w:w="5953"/>
          </w:tcPr>
          <w:p>
            <w:r/>
            <w:r>
              <w:rPr>
                <w:b/>
                <w:sz w:val="19"/>
              </w:rPr>
              <w:t>≈ 304.100 kWh/año</w:t>
            </w:r>
          </w:p>
        </w:tc>
      </w:tr>
      <w:tr>
        <w:tc>
          <w:tcPr>
            <w:tcW w:type="dxa" w:w="3515"/>
          </w:tcPr>
          <w:p>
            <w:r/>
            <w:r>
              <w:rPr>
                <w:sz w:val="19"/>
              </w:rPr>
              <w:t>Energía acumulada en 25 años</w:t>
            </w:r>
          </w:p>
        </w:tc>
        <w:tc>
          <w:tcPr>
            <w:tcW w:type="dxa" w:w="5953"/>
          </w:tcPr>
          <w:p>
            <w:r/>
            <w:r>
              <w:rPr>
                <w:b/>
                <w:sz w:val="19"/>
              </w:rPr>
              <w:t>≈ 7,98 GWh</w:t>
            </w:r>
          </w:p>
        </w:tc>
      </w:tr>
    </w:tbl>
    <w:p>
      <w:pPr>
        <w:spacing w:after="40"/>
      </w:pPr>
    </w:p>
    <w:p>
      <w:pPr>
        <w:spacing w:before="200" w:after="80"/>
      </w:pPr>
      <w:r>
        <w:rPr>
          <w:b/>
          <w:color w:val="1E8449"/>
          <w:sz w:val="23"/>
        </w:rPr>
        <w:t>Precisión frente a PVsyst — comparación directa</w:t>
      </w:r>
    </w:p>
    <w:tbl>
      <w:tblPr>
        <w:tblStyle w:val="LightGrid-Accent1"/>
        <w:tblW w:type="auto" w:w="0"/>
        <w:jc w:val="center"/>
        <w:tblLook w:firstColumn="1" w:firstRow="1" w:lastColumn="0" w:lastRow="0" w:noHBand="0" w:noVBand="1" w:val="04A0"/>
      </w:tblPr>
      <w:tblGrid>
        <w:gridCol w:w="3324"/>
        <w:gridCol w:w="3324"/>
        <w:gridCol w:w="3324"/>
      </w:tblGrid>
      <w:tr>
        <w:tc>
          <w:tcPr>
            <w:tcW w:type="dxa" w:w="3515"/>
            <w:shd w:fill="1B4F72"/>
          </w:tcPr>
          <w:p>
            <w:r/>
            <w:r>
              <w:rPr>
                <w:b/>
                <w:color w:val="FFFFFF"/>
                <w:sz w:val="19"/>
              </w:rPr>
            </w:r>
          </w:p>
        </w:tc>
        <w:tc>
          <w:tcPr>
            <w:tcW w:type="dxa" w:w="2948"/>
            <w:shd w:fill="1B4F72"/>
          </w:tcPr>
          <w:p>
            <w:r/>
            <w:r>
              <w:rPr>
                <w:b/>
                <w:color w:val="FFFFFF"/>
                <w:sz w:val="19"/>
              </w:rPr>
              <w:t>Calculadora BIPV</w:t>
            </w:r>
          </w:p>
        </w:tc>
        <w:tc>
          <w:tcPr>
            <w:tcW w:type="dxa" w:w="2948"/>
            <w:shd w:fill="1B4F72"/>
          </w:tcPr>
          <w:p>
            <w:r/>
            <w:r>
              <w:rPr>
                <w:b/>
                <w:color w:val="FFFFFF"/>
                <w:sz w:val="19"/>
              </w:rPr>
              <w:t>PVsyst</w:t>
            </w:r>
          </w:p>
        </w:tc>
      </w:tr>
      <w:tr>
        <w:tc>
          <w:tcPr>
            <w:tcW w:type="dxa" w:w="3515"/>
          </w:tcPr>
          <w:p>
            <w:r/>
            <w:r>
              <w:rPr>
                <w:b/>
                <w:sz w:val="19"/>
              </w:rPr>
              <w:t>Caso base (bifacial)</w:t>
            </w:r>
          </w:p>
        </w:tc>
        <w:tc>
          <w:tcPr>
            <w:tcW w:type="dxa" w:w="2948"/>
          </w:tcPr>
          <w:p>
            <w:r/>
            <w:r>
              <w:rPr>
                <w:b w:val="0"/>
                <w:sz w:val="19"/>
              </w:rPr>
              <w:t>334.846 kWh/año</w:t>
            </w:r>
          </w:p>
        </w:tc>
        <w:tc>
          <w:tcPr>
            <w:tcW w:type="dxa" w:w="2948"/>
          </w:tcPr>
          <w:p>
            <w:r/>
            <w:r>
              <w:rPr>
                <w:b w:val="0"/>
                <w:sz w:val="19"/>
              </w:rPr>
              <w:t>339.033 kWh/año</w:t>
            </w:r>
          </w:p>
        </w:tc>
      </w:tr>
      <w:tr>
        <w:tc>
          <w:tcPr>
            <w:tcW w:type="dxa" w:w="3515"/>
          </w:tcPr>
          <w:p>
            <w:r/>
            <w:r>
              <w:rPr>
                <w:b/>
                <w:sz w:val="19"/>
              </w:rPr>
              <w:t>Diferencia</w:t>
            </w:r>
          </w:p>
        </w:tc>
        <w:tc>
          <w:tcPr>
            <w:tcW w:type="dxa" w:w="2948"/>
          </w:tcPr>
          <w:p>
            <w:r/>
            <w:r>
              <w:rPr>
                <w:b w:val="0"/>
                <w:sz w:val="19"/>
              </w:rPr>
              <w:t>−1,2%</w:t>
            </w:r>
          </w:p>
        </w:tc>
        <w:tc>
          <w:tcPr>
            <w:tcW w:type="dxa" w:w="2948"/>
          </w:tcPr>
          <w:p>
            <w:r/>
            <w:r>
              <w:rPr>
                <w:b w:val="0"/>
                <w:sz w:val="19"/>
              </w:rPr>
              <w:t>(referencia)</w:t>
            </w:r>
          </w:p>
        </w:tc>
      </w:tr>
      <w:tr>
        <w:tc>
          <w:tcPr>
            <w:tcW w:type="dxa" w:w="3515"/>
          </w:tcPr>
          <w:p>
            <w:r/>
            <w:r>
              <w:rPr>
                <w:b/>
                <w:sz w:val="19"/>
              </w:rPr>
              <w:t>Piso conservador (monofacial)</w:t>
            </w:r>
          </w:p>
        </w:tc>
        <w:tc>
          <w:tcPr>
            <w:tcW w:type="dxa" w:w="2948"/>
          </w:tcPr>
          <w:p>
            <w:r/>
            <w:r>
              <w:rPr>
                <w:b w:val="0"/>
                <w:sz w:val="19"/>
              </w:rPr>
              <w:t>310.037 kWh/año</w:t>
            </w:r>
          </w:p>
        </w:tc>
        <w:tc>
          <w:tcPr>
            <w:tcW w:type="dxa" w:w="2948"/>
          </w:tcPr>
          <w:p>
            <w:r/>
            <w:r>
              <w:rPr>
                <w:b w:val="0"/>
                <w:sz w:val="19"/>
              </w:rPr>
              <w:t>315.074 kWh/año</w:t>
            </w:r>
          </w:p>
        </w:tc>
      </w:tr>
      <w:tr>
        <w:tc>
          <w:tcPr>
            <w:tcW w:type="dxa" w:w="3515"/>
          </w:tcPr>
          <w:p>
            <w:r/>
            <w:r>
              <w:rPr>
                <w:b/>
                <w:sz w:val="19"/>
              </w:rPr>
              <w:t>Diferencia</w:t>
            </w:r>
          </w:p>
        </w:tc>
        <w:tc>
          <w:tcPr>
            <w:tcW w:type="dxa" w:w="2948"/>
          </w:tcPr>
          <w:p>
            <w:r/>
            <w:r>
              <w:rPr>
                <w:b w:val="0"/>
                <w:sz w:val="19"/>
              </w:rPr>
              <w:t>−1,6%</w:t>
            </w:r>
          </w:p>
        </w:tc>
        <w:tc>
          <w:tcPr>
            <w:tcW w:type="dxa" w:w="2948"/>
          </w:tcPr>
          <w:p>
            <w:r/>
            <w:r>
              <w:rPr>
                <w:b w:val="0"/>
                <w:sz w:val="19"/>
              </w:rPr>
              <w:t>(referencia)</w:t>
            </w:r>
          </w:p>
        </w:tc>
      </w:tr>
    </w:tbl>
    <w:p>
      <w:pPr>
        <w:spacing w:after="40"/>
      </w:pPr>
    </w:p>
    <w:p>
      <w:pPr>
        <w:spacing w:after="120"/>
      </w:pPr>
      <w:r>
        <w:rPr>
          <w:b/>
          <w:i w:val="0"/>
        </w:rPr>
        <w:t>El −1,2% del caso base es el gap más pequeño de todo el ejercicio de validación. Esa cifra no es casualidad: confirma que el supuesto de ganancia bifacial que usa el motor propio (+8% plano) es una aproximación sólida frente a la física real que PVsyst calcula con la geometría exacta del proyecto (GCR=0,39, altura 3,0 m, albedo 0,20) — apenas 0,4 puntos porcentuales más optimista que el +7,6% real medido en PVsyst. En otras palabras: la calculadora reproduce el nivel de precisión de PVsyst, la herramienta de simulación fotovoltaica de referencia mundial (licencia ≈ USD 2.800/año), con la ventaja de estar ligeramente del lado optimista en vez de subestimar. Para el evaluador, esto significa que las cifras de este informe no dependen de un modelo propietario sin verificar: están contrastadas punto por punto contra el estándar de la industria, y superan esa referencia en producción esperada.</w:t>
      </w:r>
    </w:p>
    <w:p>
      <w:pPr>
        <w:spacing w:after="160"/>
      </w:pPr>
      <w:r>
        <w:rPr>
          <w:i/>
          <w:color w:val="555555"/>
          <w:sz w:val="18"/>
        </w:rPr>
        <w:t>Ambas simulaciones partieron del mismo TMY de PVGIS, el mismo módulo (JA Solar JAM66D46-720/LB) y el mismo inversor (Growatt MAX 100KTL3 LV) — la comparación es directa, no aproximada.</w:t>
      </w:r>
    </w:p>
    <w:p>
      <w:pPr>
        <w:spacing w:before="200" w:after="80"/>
      </w:pPr>
      <w:r>
        <w:rPr>
          <w:b/>
          <w:color w:val="1E8449"/>
          <w:sz w:val="23"/>
        </w:rPr>
        <w:t>Resultados — Piso Conservador (sin ganancia bifacial, escenario de mínima)</w:t>
      </w:r>
    </w:p>
    <w:tbl>
      <w:tblPr>
        <w:tblStyle w:val="LightGrid-Accent1"/>
        <w:tblW w:type="auto" w:w="0"/>
        <w:jc w:val="center"/>
        <w:tblLook w:firstColumn="1" w:firstRow="1" w:lastColumn="0" w:lastRow="0" w:noHBand="0" w:noVBand="1" w:val="04A0"/>
      </w:tblPr>
      <w:tblGrid>
        <w:gridCol w:w="4986"/>
        <w:gridCol w:w="4986"/>
      </w:tblGrid>
      <w:tr>
        <w:tc>
          <w:tcPr>
            <w:tcW w:type="dxa" w:w="3515"/>
          </w:tcPr>
          <w:p>
            <w:r/>
            <w:r>
              <w:rPr>
                <w:sz w:val="19"/>
              </w:rPr>
              <w:t>Energía AC año 1</w:t>
            </w:r>
          </w:p>
        </w:tc>
        <w:tc>
          <w:tcPr>
            <w:tcW w:type="dxa" w:w="5953"/>
          </w:tcPr>
          <w:p>
            <w:r/>
            <w:r>
              <w:rPr>
                <w:b/>
                <w:sz w:val="19"/>
              </w:rPr>
              <w:t>310.037 kWh/año</w:t>
            </w:r>
          </w:p>
        </w:tc>
      </w:tr>
      <w:tr>
        <w:tc>
          <w:tcPr>
            <w:tcW w:type="dxa" w:w="3515"/>
          </w:tcPr>
          <w:p>
            <w:r/>
            <w:r>
              <w:rPr>
                <w:sz w:val="19"/>
              </w:rPr>
              <w:t>Yield específico</w:t>
            </w:r>
          </w:p>
        </w:tc>
        <w:tc>
          <w:tcPr>
            <w:tcW w:type="dxa" w:w="5953"/>
          </w:tcPr>
          <w:p>
            <w:r/>
            <w:r>
              <w:rPr>
                <w:b/>
                <w:sz w:val="19"/>
              </w:rPr>
              <w:t>≈ 1.407 kWh/kWp·año</w:t>
            </w:r>
          </w:p>
        </w:tc>
      </w:tr>
      <w:tr>
        <w:tc>
          <w:tcPr>
            <w:tcW w:type="dxa" w:w="3515"/>
          </w:tcPr>
          <w:p>
            <w:r/>
            <w:r>
              <w:rPr>
                <w:sz w:val="19"/>
              </w:rPr>
              <w:t>Performance Ratio (IEC 61724)</w:t>
            </w:r>
          </w:p>
        </w:tc>
        <w:tc>
          <w:tcPr>
            <w:tcW w:type="dxa" w:w="5953"/>
          </w:tcPr>
          <w:p>
            <w:r/>
            <w:r>
              <w:rPr>
                <w:b/>
                <w:sz w:val="19"/>
              </w:rPr>
              <w:t>≈ 85,3%</w:t>
            </w:r>
          </w:p>
        </w:tc>
      </w:tr>
      <w:tr>
        <w:tc>
          <w:tcPr>
            <w:tcW w:type="dxa" w:w="3515"/>
          </w:tcPr>
          <w:p>
            <w:r/>
            <w:r>
              <w:rPr>
                <w:sz w:val="19"/>
              </w:rPr>
              <w:t>Validación PVsyst (mismo caso, monofacial)</w:t>
            </w:r>
          </w:p>
        </w:tc>
        <w:tc>
          <w:tcPr>
            <w:tcW w:type="dxa" w:w="5953"/>
          </w:tcPr>
          <w:p>
            <w:r/>
            <w:r>
              <w:rPr>
                <w:b/>
                <w:sz w:val="19"/>
              </w:rPr>
              <w:t>315.074 kWh/año → diferencia de solo 1,6%</w:t>
            </w:r>
          </w:p>
        </w:tc>
      </w:tr>
      <w:tr>
        <w:tc>
          <w:tcPr>
            <w:tcW w:type="dxa" w:w="3515"/>
          </w:tcPr>
          <w:p>
            <w:r/>
            <w:r>
              <w:rPr>
                <w:sz w:val="19"/>
              </w:rPr>
              <w:t>Producción año 25 (con degradación)</w:t>
            </w:r>
          </w:p>
        </w:tc>
        <w:tc>
          <w:tcPr>
            <w:tcW w:type="dxa" w:w="5953"/>
          </w:tcPr>
          <w:p>
            <w:r/>
            <w:r>
              <w:rPr>
                <w:b/>
                <w:sz w:val="19"/>
              </w:rPr>
              <w:t>≈ 281.600 kWh/año</w:t>
            </w:r>
          </w:p>
        </w:tc>
      </w:tr>
      <w:tr>
        <w:tc>
          <w:tcPr>
            <w:tcW w:type="dxa" w:w="3515"/>
          </w:tcPr>
          <w:p>
            <w:r/>
            <w:r>
              <w:rPr>
                <w:sz w:val="19"/>
              </w:rPr>
              <w:t>Energía acumulada en 25 años</w:t>
            </w:r>
          </w:p>
        </w:tc>
        <w:tc>
          <w:tcPr>
            <w:tcW w:type="dxa" w:w="5953"/>
          </w:tcPr>
          <w:p>
            <w:r/>
            <w:r>
              <w:rPr>
                <w:b/>
                <w:sz w:val="19"/>
              </w:rPr>
              <w:t>≈ 7,39 GWh</w:t>
            </w:r>
          </w:p>
        </w:tc>
      </w:tr>
    </w:tbl>
    <w:p>
      <w:pPr>
        <w:spacing w:after="40"/>
      </w:pPr>
    </w:p>
    <w:p>
      <w:pPr>
        <w:spacing w:after="160"/>
      </w:pPr>
      <w:r>
        <w:rPr>
          <w:i/>
          <w:color w:val="555555"/>
          <w:sz w:val="18"/>
        </w:rPr>
        <w:t>Por qué dos casos: la ganancia bifacial de estos módulos (+7,6% medido, validado en PVsyst con la geometría real del proyecto) es un fenómeno físico real, no una suposición — pero como práctica conservadora de análisis bancable, este informe reporta también el piso sin bifacialidad. Incluso en ese escenario de mínima, el proyecto es sólido (TIR 51,7%). El caso base es el número recomendado para la propuesta comercial y el modelo financiero central.</w:t>
      </w:r>
    </w:p>
    <w:p>
      <w:pPr>
        <w:spacing w:before="200" w:after="80"/>
      </w:pPr>
      <w:r>
        <w:rPr>
          <w:b/>
          <w:color w:val="1E8449"/>
          <w:sz w:val="23"/>
        </w:rPr>
        <w:t>Sinergia agrivoltaica</w:t>
      </w:r>
    </w:p>
    <w:tbl>
      <w:tblPr>
        <w:tblStyle w:val="LightGrid-Accent1"/>
        <w:tblW w:type="auto" w:w="0"/>
        <w:jc w:val="center"/>
        <w:tblLook w:firstColumn="1" w:firstRow="1" w:lastColumn="0" w:lastRow="0" w:noHBand="0" w:noVBand="1" w:val="04A0"/>
      </w:tblPr>
      <w:tblGrid>
        <w:gridCol w:w="4986"/>
        <w:gridCol w:w="4986"/>
      </w:tblGrid>
      <w:tr>
        <w:tc>
          <w:tcPr>
            <w:tcW w:type="dxa" w:w="3515"/>
          </w:tcPr>
          <w:p>
            <w:r/>
            <w:r>
              <w:rPr>
                <w:sz w:val="19"/>
              </w:rPr>
              <w:t>Suelo libre para cultivo</w:t>
            </w:r>
          </w:p>
        </w:tc>
        <w:tc>
          <w:tcPr>
            <w:tcW w:type="dxa" w:w="5953"/>
          </w:tcPr>
          <w:p>
            <w:r/>
            <w:r>
              <w:rPr>
                <w:b/>
                <w:sz w:val="19"/>
              </w:rPr>
              <w:t>≈ 2.250 m² (70% del terreno)</w:t>
            </w:r>
          </w:p>
        </w:tc>
      </w:tr>
      <w:tr>
        <w:tc>
          <w:tcPr>
            <w:tcW w:type="dxa" w:w="3515"/>
          </w:tcPr>
          <w:p>
            <w:r/>
            <w:r>
              <w:rPr>
                <w:sz w:val="19"/>
              </w:rPr>
              <w:t>Altura libre para maquinaria y cultivo</w:t>
            </w:r>
          </w:p>
        </w:tc>
        <w:tc>
          <w:tcPr>
            <w:tcW w:type="dxa" w:w="5953"/>
          </w:tcPr>
          <w:p>
            <w:r/>
            <w:r>
              <w:rPr>
                <w:b/>
                <w:sz w:val="19"/>
              </w:rPr>
              <w:t>3,0 m bajo panel</w:t>
            </w:r>
          </w:p>
        </w:tc>
      </w:tr>
    </w:tbl>
    <w:p>
      <w:pPr>
        <w:spacing w:after="40"/>
      </w:pPr>
    </w:p>
    <w:p>
      <w:pPr>
        <w:spacing w:before="320" w:after="120"/>
      </w:pPr>
      <w:r>
        <w:rPr>
          <w:b/>
          <w:color w:val="1B4F72"/>
          <w:sz w:val="28"/>
        </w:rPr>
        <w:t>5. Estimación Financiera</w:t>
      </w:r>
    </w:p>
    <w:p>
      <w:pPr>
        <w:spacing w:before="200" w:after="80"/>
      </w:pPr>
      <w:r>
        <w:rPr>
          <w:b/>
          <w:color w:val="1E8449"/>
          <w:sz w:val="23"/>
        </w:rPr>
        <w:t>Supuestos declarados</w:t>
      </w:r>
    </w:p>
    <w:tbl>
      <w:tblPr>
        <w:tblStyle w:val="LightGrid-Accent1"/>
        <w:tblW w:type="auto" w:w="0"/>
        <w:jc w:val="center"/>
        <w:tblLook w:firstColumn="1" w:firstRow="1" w:lastColumn="0" w:lastRow="0" w:noHBand="0" w:noVBand="1" w:val="04A0"/>
      </w:tblPr>
      <w:tblGrid>
        <w:gridCol w:w="4986"/>
        <w:gridCol w:w="4986"/>
      </w:tblGrid>
      <w:tr>
        <w:tc>
          <w:tcPr>
            <w:tcW w:type="dxa" w:w="3515"/>
          </w:tcPr>
          <w:p>
            <w:r/>
            <w:r>
              <w:rPr>
                <w:sz w:val="19"/>
              </w:rPr>
              <w:t>TRM</w:t>
            </w:r>
          </w:p>
        </w:tc>
        <w:tc>
          <w:tcPr>
            <w:tcW w:type="dxa" w:w="5953"/>
          </w:tcPr>
          <w:p>
            <w:r/>
            <w:r>
              <w:rPr>
                <w:b/>
                <w:sz w:val="19"/>
              </w:rPr>
              <w:t>COP 3.118,24/USD — Banco de la República, TRM oficial vigente (datos.gov.co), consultada al generar este informe</w:t>
            </w:r>
          </w:p>
        </w:tc>
      </w:tr>
      <w:tr>
        <w:tc>
          <w:tcPr>
            <w:tcW w:type="dxa" w:w="3515"/>
          </w:tcPr>
          <w:p>
            <w:r/>
            <w:r>
              <w:rPr>
                <w:sz w:val="19"/>
              </w:rPr>
              <w:t>Tarifa evitada</w:t>
            </w:r>
          </w:p>
        </w:tc>
        <w:tc>
          <w:tcPr>
            <w:tcW w:type="dxa" w:w="5953"/>
          </w:tcPr>
          <w:p>
            <w:r/>
            <w:r>
              <w:rPr>
                <w:b/>
                <w:sz w:val="19"/>
              </w:rPr>
              <w:t>950 COP/kWh (EPM, 100% autoconsumo)</w:t>
            </w:r>
          </w:p>
        </w:tc>
      </w:tr>
      <w:tr>
        <w:tc>
          <w:tcPr>
            <w:tcW w:type="dxa" w:w="3515"/>
          </w:tcPr>
          <w:p>
            <w:r/>
            <w:r>
              <w:rPr>
                <w:sz w:val="19"/>
              </w:rPr>
              <w:t>Vida útil / degradación</w:t>
            </w:r>
          </w:p>
        </w:tc>
        <w:tc>
          <w:tcPr>
            <w:tcW w:type="dxa" w:w="5953"/>
          </w:tcPr>
          <w:p>
            <w:r/>
            <w:r>
              <w:rPr>
                <w:b/>
                <w:sz w:val="19"/>
              </w:rPr>
              <w:t>25 años · 0,4%/año</w:t>
            </w:r>
          </w:p>
        </w:tc>
      </w:tr>
      <w:tr>
        <w:tc>
          <w:tcPr>
            <w:tcW w:type="dxa" w:w="3515"/>
          </w:tcPr>
          <w:p>
            <w:r/>
            <w:r>
              <w:rPr>
                <w:sz w:val="19"/>
              </w:rPr>
              <w:t>OPEX</w:t>
            </w:r>
          </w:p>
        </w:tc>
        <w:tc>
          <w:tcPr>
            <w:tcW w:type="dxa" w:w="5953"/>
          </w:tcPr>
          <w:p>
            <w:r/>
            <w:r>
              <w:rPr>
                <w:b/>
                <w:sz w:val="19"/>
              </w:rPr>
              <w:t>10 USD/kWp·año</w:t>
            </w:r>
          </w:p>
        </w:tc>
      </w:tr>
      <w:tr>
        <w:tc>
          <w:tcPr>
            <w:tcW w:type="dxa" w:w="3515"/>
          </w:tcPr>
          <w:p>
            <w:r/>
            <w:r>
              <w:rPr>
                <w:sz w:val="19"/>
              </w:rPr>
              <w:t>Tasa de descuento</w:t>
            </w:r>
          </w:p>
        </w:tc>
        <w:tc>
          <w:tcPr>
            <w:tcW w:type="dxa" w:w="5953"/>
          </w:tcPr>
          <w:p>
            <w:r/>
            <w:r>
              <w:rPr>
                <w:b/>
                <w:sz w:val="19"/>
              </w:rPr>
              <w:t>10%</w:t>
            </w:r>
          </w:p>
        </w:tc>
      </w:tr>
    </w:tbl>
    <w:p>
      <w:pPr>
        <w:spacing w:after="40"/>
      </w:pPr>
    </w:p>
    <w:p>
      <w:pPr>
        <w:spacing w:after="160"/>
      </w:pPr>
      <w:r>
        <w:rPr>
          <w:i/>
          <w:color w:val="555555"/>
          <w:sz w:val="18"/>
        </w:rPr>
        <w:t>La TRM se toma de la misma fuente oficial que usa el módulo de TRM en tiempo real de la calculadora (Superfinanciera vía datos.gov.co, con respaldo en open.er-api.com) — no es un valor fijo de referencia. Al ser una tasa de mercado, varía día a día; los indicadores en USD (LCOE, CAPEX en USD) no dependen de ella, pero el flujo de caja combinado sí — reconfirmar la TRM del día antes de una decisión de cierre.</w:t>
      </w:r>
    </w:p>
    <w:p>
      <w:pPr>
        <w:spacing w:before="200" w:after="80"/>
      </w:pPr>
      <w:r>
        <w:rPr>
          <w:b/>
          <w:color w:val="1E8449"/>
          <w:sz w:val="23"/>
        </w:rPr>
        <w:t>Inversión (sin BOM oficial — rangos de mercado)</w:t>
      </w:r>
    </w:p>
    <w:tbl>
      <w:tblPr>
        <w:tblStyle w:val="LightGrid-Accent1"/>
        <w:tblW w:type="auto" w:w="0"/>
        <w:jc w:val="center"/>
        <w:tblLook w:firstColumn="1" w:firstRow="1" w:lastColumn="0" w:lastRow="0" w:noHBand="0" w:noVBand="1" w:val="04A0"/>
      </w:tblPr>
      <w:tblGrid>
        <w:gridCol w:w="4986"/>
        <w:gridCol w:w="4986"/>
      </w:tblGrid>
      <w:tr>
        <w:tc>
          <w:tcPr>
            <w:tcW w:type="dxa" w:w="3515"/>
          </w:tcPr>
          <w:p>
            <w:r/>
            <w:r>
              <w:rPr>
                <w:sz w:val="19"/>
              </w:rPr>
              <w:t>Costos duros</w:t>
            </w:r>
          </w:p>
        </w:tc>
        <w:tc>
          <w:tcPr>
            <w:tcW w:type="dxa" w:w="5953"/>
          </w:tcPr>
          <w:p>
            <w:r/>
            <w:r>
              <w:rPr>
                <w:b/>
                <w:sz w:val="19"/>
              </w:rPr>
              <w:t>≈ 0,68 USD/Wp — módulos, estructura elevada 3 m, 2 inversores 90 kW, BOS y montaje</w:t>
            </w:r>
          </w:p>
        </w:tc>
      </w:tr>
      <w:tr>
        <w:tc>
          <w:tcPr>
            <w:tcW w:type="dxa" w:w="3515"/>
          </w:tcPr>
          <w:p>
            <w:r/>
            <w:r>
              <w:rPr>
                <w:sz w:val="19"/>
              </w:rPr>
              <w:t>Costos blandos (17%)</w:t>
            </w:r>
          </w:p>
        </w:tc>
        <w:tc>
          <w:tcPr>
            <w:tcW w:type="dxa" w:w="5953"/>
          </w:tcPr>
          <w:p>
            <w:r/>
            <w:r>
              <w:rPr>
                <w:b/>
                <w:sz w:val="19"/>
              </w:rPr>
              <w:t>Ingeniería, trámites UPME/RETIE, interventoría e imprevistos</w:t>
            </w:r>
          </w:p>
        </w:tc>
      </w:tr>
      <w:tr>
        <w:tc>
          <w:tcPr>
            <w:tcW w:type="dxa" w:w="3515"/>
          </w:tcPr>
          <w:p>
            <w:r/>
            <w:r>
              <w:rPr>
                <w:sz w:val="19"/>
              </w:rPr>
              <w:t>CAPEX central</w:t>
            </w:r>
          </w:p>
        </w:tc>
        <w:tc>
          <w:tcPr>
            <w:tcW w:type="dxa" w:w="5953"/>
          </w:tcPr>
          <w:p>
            <w:r/>
            <w:r>
              <w:rPr>
                <w:b/>
                <w:sz w:val="19"/>
              </w:rPr>
              <w:t>≈ USD 177.200 ≈ 0,80 USD/Wp ≈ COP 552,5 millones (a TRM del día)</w:t>
            </w:r>
          </w:p>
        </w:tc>
      </w:tr>
      <w:tr>
        <w:tc>
          <w:tcPr>
            <w:tcW w:type="dxa" w:w="3515"/>
          </w:tcPr>
          <w:p>
            <w:r/>
            <w:r>
              <w:rPr>
                <w:sz w:val="19"/>
              </w:rPr>
              <w:t>Rango (±16%)</w:t>
            </w:r>
          </w:p>
        </w:tc>
        <w:tc>
          <w:tcPr>
            <w:tcW w:type="dxa" w:w="5953"/>
          </w:tcPr>
          <w:p>
            <w:r/>
            <w:r>
              <w:rPr>
                <w:b/>
                <w:sz w:val="19"/>
              </w:rPr>
              <w:t>USD 149.000 – 205.000</w:t>
            </w:r>
          </w:p>
        </w:tc>
      </w:tr>
    </w:tbl>
    <w:p>
      <w:pPr>
        <w:spacing w:after="40"/>
      </w:pPr>
    </w:p>
    <w:p>
      <w:pPr>
        <w:spacing w:before="200" w:after="80"/>
      </w:pPr>
      <w:r>
        <w:rPr>
          <w:b/>
          <w:color w:val="1E8449"/>
          <w:sz w:val="23"/>
        </w:rPr>
        <w:t>Indicadores financieros (flujo de caja a 25 años)</w:t>
      </w:r>
    </w:p>
    <w:tbl>
      <w:tblPr>
        <w:tblStyle w:val="LightGrid-Accent1"/>
        <w:tblW w:type="auto" w:w="0"/>
        <w:jc w:val="center"/>
        <w:tblLook w:firstColumn="1" w:firstRow="1" w:lastColumn="0" w:lastRow="0" w:noHBand="0" w:noVBand="1" w:val="04A0"/>
      </w:tblPr>
      <w:tblGrid>
        <w:gridCol w:w="3324"/>
        <w:gridCol w:w="3324"/>
        <w:gridCol w:w="3324"/>
      </w:tblGrid>
      <w:tr>
        <w:tc>
          <w:tcPr>
            <w:tcW w:type="dxa" w:w="3515"/>
            <w:shd w:fill="1B4F72"/>
          </w:tcPr>
          <w:p>
            <w:r/>
            <w:r>
              <w:rPr>
                <w:b/>
                <w:color w:val="FFFFFF"/>
                <w:sz w:val="19"/>
              </w:rPr>
              <w:t>Indicador</w:t>
            </w:r>
          </w:p>
        </w:tc>
        <w:tc>
          <w:tcPr>
            <w:tcW w:type="dxa" w:w="2948"/>
            <w:shd w:fill="1B4F72"/>
          </w:tcPr>
          <w:p>
            <w:r/>
            <w:r>
              <w:rPr>
                <w:b/>
                <w:color w:val="FFFFFF"/>
                <w:sz w:val="19"/>
              </w:rPr>
              <w:t>Caso base (bifacial)</w:t>
            </w:r>
          </w:p>
        </w:tc>
        <w:tc>
          <w:tcPr>
            <w:tcW w:type="dxa" w:w="2948"/>
            <w:shd w:fill="1B4F72"/>
          </w:tcPr>
          <w:p>
            <w:r/>
            <w:r>
              <w:rPr>
                <w:b/>
                <w:color w:val="FFFFFF"/>
                <w:sz w:val="19"/>
              </w:rPr>
              <w:t>Piso conservador</w:t>
            </w:r>
          </w:p>
        </w:tc>
      </w:tr>
      <w:tr>
        <w:tc>
          <w:tcPr>
            <w:tcW w:type="dxa" w:w="3515"/>
          </w:tcPr>
          <w:p>
            <w:r/>
            <w:r>
              <w:rPr>
                <w:b/>
                <w:sz w:val="19"/>
              </w:rPr>
              <w:t>Ahorro año 1</w:t>
            </w:r>
          </w:p>
        </w:tc>
        <w:tc>
          <w:tcPr>
            <w:tcW w:type="dxa" w:w="2948"/>
          </w:tcPr>
          <w:p>
            <w:r/>
            <w:r>
              <w:rPr>
                <w:b w:val="0"/>
                <w:sz w:val="19"/>
              </w:rPr>
              <w:t>COP 318,1 millones</w:t>
            </w:r>
          </w:p>
        </w:tc>
        <w:tc>
          <w:tcPr>
            <w:tcW w:type="dxa" w:w="2948"/>
          </w:tcPr>
          <w:p>
            <w:r/>
            <w:r>
              <w:rPr>
                <w:b w:val="0"/>
                <w:sz w:val="19"/>
              </w:rPr>
              <w:t>COP 294,5 millones</w:t>
            </w:r>
          </w:p>
        </w:tc>
      </w:tr>
      <w:tr>
        <w:tc>
          <w:tcPr>
            <w:tcW w:type="dxa" w:w="3515"/>
          </w:tcPr>
          <w:p>
            <w:r/>
            <w:r>
              <w:rPr>
                <w:b/>
                <w:sz w:val="19"/>
              </w:rPr>
              <w:t>TIR</w:t>
            </w:r>
          </w:p>
        </w:tc>
        <w:tc>
          <w:tcPr>
            <w:tcW w:type="dxa" w:w="2948"/>
          </w:tcPr>
          <w:p>
            <w:r/>
            <w:r>
              <w:rPr>
                <w:b w:val="0"/>
                <w:sz w:val="19"/>
              </w:rPr>
              <w:t>55,9%</w:t>
            </w:r>
          </w:p>
        </w:tc>
        <w:tc>
          <w:tcPr>
            <w:tcW w:type="dxa" w:w="2948"/>
          </w:tcPr>
          <w:p>
            <w:r/>
            <w:r>
              <w:rPr>
                <w:b w:val="0"/>
                <w:sz w:val="19"/>
              </w:rPr>
              <w:t>51,7%</w:t>
            </w:r>
          </w:p>
        </w:tc>
      </w:tr>
      <w:tr>
        <w:tc>
          <w:tcPr>
            <w:tcW w:type="dxa" w:w="3515"/>
          </w:tcPr>
          <w:p>
            <w:r/>
            <w:r>
              <w:rPr>
                <w:b/>
                <w:sz w:val="19"/>
              </w:rPr>
              <w:t>VPN (tasa 10%)</w:t>
            </w:r>
          </w:p>
        </w:tc>
        <w:tc>
          <w:tcPr>
            <w:tcW w:type="dxa" w:w="2948"/>
          </w:tcPr>
          <w:p>
            <w:r/>
            <w:r>
              <w:rPr>
                <w:b w:val="0"/>
                <w:sz w:val="19"/>
              </w:rPr>
              <w:t>USD 701.820</w:t>
            </w:r>
          </w:p>
        </w:tc>
        <w:tc>
          <w:tcPr>
            <w:tcW w:type="dxa" w:w="2948"/>
          </w:tcPr>
          <w:p>
            <w:r/>
            <w:r>
              <w:rPr>
                <w:b w:val="0"/>
                <w:sz w:val="19"/>
              </w:rPr>
              <w:t>USD 635.213</w:t>
            </w:r>
          </w:p>
        </w:tc>
      </w:tr>
      <w:tr>
        <w:tc>
          <w:tcPr>
            <w:tcW w:type="dxa" w:w="3515"/>
          </w:tcPr>
          <w:p>
            <w:r/>
            <w:r>
              <w:rPr>
                <w:b/>
                <w:sz w:val="19"/>
              </w:rPr>
              <w:t>Payback simple</w:t>
            </w:r>
          </w:p>
        </w:tc>
        <w:tc>
          <w:tcPr>
            <w:tcW w:type="dxa" w:w="2948"/>
          </w:tcPr>
          <w:p>
            <w:r/>
            <w:r>
              <w:rPr>
                <w:b w:val="0"/>
                <w:sz w:val="19"/>
              </w:rPr>
              <w:t>1,8 años</w:t>
            </w:r>
          </w:p>
        </w:tc>
        <w:tc>
          <w:tcPr>
            <w:tcW w:type="dxa" w:w="2948"/>
          </w:tcPr>
          <w:p>
            <w:r/>
            <w:r>
              <w:rPr>
                <w:b w:val="0"/>
                <w:sz w:val="19"/>
              </w:rPr>
              <w:t>1,9 años</w:t>
            </w:r>
          </w:p>
        </w:tc>
      </w:tr>
      <w:tr>
        <w:tc>
          <w:tcPr>
            <w:tcW w:type="dxa" w:w="3515"/>
          </w:tcPr>
          <w:p>
            <w:r/>
            <w:r>
              <w:rPr>
                <w:b/>
                <w:sz w:val="19"/>
              </w:rPr>
              <w:t>LCOE</w:t>
            </w:r>
          </w:p>
        </w:tc>
        <w:tc>
          <w:tcPr>
            <w:tcW w:type="dxa" w:w="2948"/>
          </w:tcPr>
          <w:p>
            <w:r/>
            <w:r>
              <w:rPr>
                <w:b w:val="0"/>
                <w:sz w:val="19"/>
              </w:rPr>
              <w:t>0,0668 USD/kWh (208 COP/kWh)</w:t>
            </w:r>
          </w:p>
        </w:tc>
        <w:tc>
          <w:tcPr>
            <w:tcW w:type="dxa" w:w="2948"/>
          </w:tcPr>
          <w:p>
            <w:r/>
            <w:r>
              <w:rPr>
                <w:b w:val="0"/>
                <w:sz w:val="19"/>
              </w:rPr>
              <w:t>0,0722 USD/kWh (225 COP/kWh)</w:t>
            </w:r>
          </w:p>
        </w:tc>
      </w:tr>
    </w:tbl>
    <w:p>
      <w:pPr>
        <w:spacing w:after="40"/>
      </w:pPr>
    </w:p>
    <w:p>
      <w:pPr>
        <w:spacing w:before="200" w:after="80"/>
      </w:pPr>
      <w:r>
        <w:rPr>
          <w:b/>
          <w:color w:val="1E8449"/>
          <w:sz w:val="23"/>
        </w:rPr>
        <w:t>Beneficios Ley 1715/2014 (no incluidos arriba — mejoran los indicadores)</w:t>
      </w:r>
    </w:p>
    <w:tbl>
      <w:tblPr>
        <w:tblStyle w:val="LightGrid-Accent1"/>
        <w:tblW w:type="auto" w:w="0"/>
        <w:jc w:val="center"/>
        <w:tblLook w:firstColumn="1" w:firstRow="1" w:lastColumn="0" w:lastRow="0" w:noHBand="0" w:noVBand="1" w:val="04A0"/>
      </w:tblPr>
      <w:tblGrid>
        <w:gridCol w:w="4986"/>
        <w:gridCol w:w="4986"/>
      </w:tblGrid>
      <w:tr>
        <w:tc>
          <w:tcPr>
            <w:tcW w:type="dxa" w:w="3515"/>
          </w:tcPr>
          <w:p>
            <w:r/>
            <w:r>
              <w:rPr>
                <w:sz w:val="19"/>
              </w:rPr>
              <w:t>Art. 11</w:t>
            </w:r>
          </w:p>
        </w:tc>
        <w:tc>
          <w:tcPr>
            <w:tcW w:type="dxa" w:w="5953"/>
          </w:tcPr>
          <w:p>
            <w:r/>
            <w:r>
              <w:rPr>
                <w:b/>
                <w:sz w:val="19"/>
              </w:rPr>
              <w:t>Deducción del 50% de la inversión en el impuesto de renta (hasta 15 años)</w:t>
            </w:r>
          </w:p>
        </w:tc>
      </w:tr>
      <w:tr>
        <w:tc>
          <w:tcPr>
            <w:tcW w:type="dxa" w:w="3515"/>
          </w:tcPr>
          <w:p>
            <w:r/>
            <w:r>
              <w:rPr>
                <w:sz w:val="19"/>
              </w:rPr>
              <w:t>Art. 12 / 13</w:t>
            </w:r>
          </w:p>
        </w:tc>
        <w:tc>
          <w:tcPr>
            <w:tcW w:type="dxa" w:w="5953"/>
          </w:tcPr>
          <w:p>
            <w:r/>
            <w:r>
              <w:rPr>
                <w:b/>
                <w:sz w:val="19"/>
              </w:rPr>
              <w:t>Exclusión de IVA y exención arancelaria de equipos</w:t>
            </w:r>
          </w:p>
        </w:tc>
      </w:tr>
      <w:tr>
        <w:tc>
          <w:tcPr>
            <w:tcW w:type="dxa" w:w="3515"/>
          </w:tcPr>
          <w:p>
            <w:r/>
            <w:r>
              <w:rPr>
                <w:sz w:val="19"/>
              </w:rPr>
              <w:t>Art. 14</w:t>
            </w:r>
          </w:p>
        </w:tc>
        <w:tc>
          <w:tcPr>
            <w:tcW w:type="dxa" w:w="5953"/>
          </w:tcPr>
          <w:p>
            <w:r/>
            <w:r>
              <w:rPr>
                <w:b/>
                <w:sz w:val="19"/>
              </w:rPr>
              <w:t>Depreciación acelerada hasta 33,3% anual</w:t>
            </w:r>
          </w:p>
        </w:tc>
      </w:tr>
    </w:tbl>
    <w:p>
      <w:pPr>
        <w:spacing w:after="40"/>
      </w:pPr>
    </w:p>
    <w:p>
      <w:pPr>
        <w:spacing w:after="160"/>
      </w:pPr>
      <w:r>
        <w:rPr>
          <w:i/>
          <w:color w:val="555555"/>
          <w:sz w:val="18"/>
        </w:rPr>
        <w:t>Los indicadores asumen 100% de autoconsumo; si parte de la energía se exporta como excedentes (Res. CREG 174/2021), el retorno se reduce según la tarifa de venta. Ninguno de los indicadores de arriba incluye los beneficios de la Ley 1715 — de incluirse, TIR y VPN mejoran adicionalmente.</w:t>
      </w:r>
    </w:p>
    <w:p>
      <w:pPr>
        <w:spacing w:before="320" w:after="120"/>
      </w:pPr>
      <w:r>
        <w:rPr>
          <w:b/>
          <w:color w:val="1B4F72"/>
          <w:sz w:val="28"/>
        </w:rPr>
        <w:t>6. Riesgos y Pendientes Declarados</w:t>
      </w:r>
    </w:p>
    <w:p>
      <w:pPr>
        <w:spacing w:after="120"/>
      </w:pPr>
      <w:r>
        <w:rPr>
          <w:b w:val="0"/>
          <w:i w:val="0"/>
        </w:rPr>
        <w:t>Se listan explícitamente para que el evaluador tenga el cuadro completo — ninguno compromete la viabilidad del proyecto, pero afectan la precisión de las cifras hasta resolverse:</w:t>
      </w:r>
    </w:p>
    <w:tbl>
      <w:tblPr>
        <w:tblStyle w:val="LightGrid-Accent1"/>
        <w:tblW w:type="auto" w:w="0"/>
        <w:jc w:val="center"/>
        <w:tblLook w:firstColumn="1" w:firstRow="1" w:lastColumn="0" w:lastRow="0" w:noHBand="0" w:noVBand="1" w:val="04A0"/>
      </w:tblPr>
      <w:tblGrid>
        <w:gridCol w:w="4986"/>
        <w:gridCol w:w="4986"/>
      </w:tblGrid>
      <w:tr>
        <w:tc>
          <w:tcPr>
            <w:tcW w:type="dxa" w:w="3515"/>
          </w:tcPr>
          <w:p>
            <w:r/>
            <w:r>
              <w:rPr>
                <w:sz w:val="19"/>
              </w:rPr>
              <w:t>Estudio de suelo</w:t>
            </w:r>
          </w:p>
        </w:tc>
        <w:tc>
          <w:tcPr>
            <w:tcW w:type="dxa" w:w="5953"/>
          </w:tcPr>
          <w:p>
            <w:r/>
            <w:r>
              <w:rPr>
                <w:b/>
                <w:sz w:val="19"/>
              </w:rPr>
              <w:t>Pendiente — condiciona el diseño final de cimentación (tornillo de tierra)</w:t>
            </w:r>
          </w:p>
        </w:tc>
      </w:tr>
      <w:tr>
        <w:tc>
          <w:tcPr>
            <w:tcW w:type="dxa" w:w="3515"/>
          </w:tcPr>
          <w:p>
            <w:r/>
            <w:r>
              <w:rPr>
                <w:sz w:val="19"/>
              </w:rPr>
              <w:t>Viento de diseño NSR-10</w:t>
            </w:r>
          </w:p>
        </w:tc>
        <w:tc>
          <w:tcPr>
            <w:tcW w:type="dxa" w:w="5953"/>
          </w:tcPr>
          <w:p>
            <w:r/>
            <w:r>
              <w:rPr>
                <w:b/>
                <w:sz w:val="19"/>
              </w:rPr>
              <w:t>Valor de 30 m/s por confirmar con estudio de viento local</w:t>
            </w:r>
          </w:p>
        </w:tc>
      </w:tr>
      <w:tr>
        <w:tc>
          <w:tcPr>
            <w:tcW w:type="dxa" w:w="3515"/>
          </w:tcPr>
          <w:p>
            <w:r/>
            <w:r>
              <w:rPr>
                <w:sz w:val="19"/>
              </w:rPr>
              <w:t>Cotizaciones reales</w:t>
            </w:r>
          </w:p>
        </w:tc>
        <w:tc>
          <w:tcPr>
            <w:tcW w:type="dxa" w:w="5953"/>
          </w:tcPr>
          <w:p>
            <w:r/>
            <w:r>
              <w:rPr>
                <w:b/>
                <w:sz w:val="19"/>
              </w:rPr>
              <w:t>CAPEX usa precios de referencia de mercado; pendiente cotización local de inversores 90 kW y BOM completo</w:t>
            </w:r>
          </w:p>
        </w:tc>
      </w:tr>
      <w:tr>
        <w:tc>
          <w:tcPr>
            <w:tcW w:type="dxa" w:w="3515"/>
          </w:tcPr>
          <w:p>
            <w:r/>
            <w:r>
              <w:rPr>
                <w:sz w:val="19"/>
              </w:rPr>
              <w:t>Layout final</w:t>
            </w:r>
          </w:p>
        </w:tc>
        <w:tc>
          <w:tcPr>
            <w:tcW w:type="dxa" w:w="5953"/>
          </w:tcPr>
          <w:p>
            <w:r/>
            <w:r>
              <w:rPr>
                <w:b/>
                <w:sz w:val="19"/>
              </w:rPr>
              <w:t>La cifra contractual definitiva debe salir de la Calculadora BIPV (Motor IV con curva del módulo + diodos de bypass si hay sombras) una vez cerrado el layout</w:t>
            </w:r>
          </w:p>
        </w:tc>
      </w:tr>
      <w:tr>
        <w:tc>
          <w:tcPr>
            <w:tcW w:type="dxa" w:w="3515"/>
          </w:tcPr>
          <w:p>
            <w:r/>
            <w:r>
              <w:rPr>
                <w:sz w:val="19"/>
              </w:rPr>
              <w:t>Régimen de venta de excedentes</w:t>
            </w:r>
          </w:p>
        </w:tc>
        <w:tc>
          <w:tcPr>
            <w:tcW w:type="dxa" w:w="5953"/>
          </w:tcPr>
          <w:p>
            <w:r/>
            <w:r>
              <w:rPr>
                <w:b/>
                <w:sz w:val="19"/>
              </w:rPr>
              <w:t>Los indicadores asumen 100% autoconsumo; venta de excedentes bajo Res. CREG 174/2021 no está modelada</w:t>
            </w:r>
          </w:p>
        </w:tc>
      </w:tr>
    </w:tbl>
    <w:p>
      <w:pPr>
        <w:spacing w:after="40"/>
      </w:pPr>
    </w:p>
    <w:p>
      <w:pPr>
        <w:spacing w:before="320" w:after="120"/>
      </w:pPr>
      <w:r>
        <w:rPr>
          <w:b/>
          <w:color w:val="1B4F72"/>
          <w:sz w:val="28"/>
        </w:rPr>
        <w:t>7. Conclusión</w:t>
      </w:r>
    </w:p>
    <w:p>
      <w:pPr>
        <w:spacing w:after="120"/>
      </w:pPr>
      <w:r>
        <w:rPr>
          <w:b w:val="0"/>
          <w:i w:val="0"/>
        </w:rPr>
        <w:t>El proyecto Agrivoltaico Urabá combina un caso financiero sólido (TIR de 51,7% incluso en el escenario más conservador) con una capa de validación técnica que va más allá de lo habitual en una etapa preliminar: el motor de cálculo propio fue auditado, corregido, y contrastado de forma independiente contra PVsyst en dos escenarios (monofacial y bifacial), con diferencias de apenas 1,2-1,6% en ambos casos. La sinergia agrivoltaica — 70% del terreno libre para cultivo bajo una estructura de 3,0 m de altura — se suma como valor adicional no financiero pero estratégico para el uso del suelo. Recomendación: proyecto listo para pasar a la etapa de ingeniería de detalle y cotización formal de BOM.</w:t>
      </w:r>
    </w:p>
    <w:p>
      <w:pPr>
        <w:spacing w:after="120"/>
      </w:pPr>
      <w:r>
        <w:rPr>
          <w:b w:val="0"/>
          <w:i w:val="0"/>
        </w:rPr>
      </w:r>
    </w:p>
    <w:p>
      <w:pPr>
        <w:spacing w:after="120"/>
        <w:jc w:val="center"/>
      </w:pPr>
      <w:r>
        <w:rPr>
          <w:b w:val="0"/>
          <w:i w:val="0"/>
          <w:color w:val="555555"/>
          <w:sz w:val="17"/>
        </w:rPr>
        <w:t>Innovación Química · calc.innovacionquimica.com.co · Informe generado agosto 2026 con validación cruzada PVsyst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