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color w:val="1B4F72"/>
          <w:sz w:val="34"/>
        </w:rPr>
        <w:t>INFORME FINAL DE VIABILIDAD TÉCNICO-FINANCIERA</w:t>
      </w:r>
    </w:p>
    <w:p>
      <w:pPr>
        <w:spacing w:after="40"/>
        <w:jc w:val="center"/>
      </w:pPr>
      <w:r>
        <w:rPr>
          <w:b/>
          <w:i w:val="0"/>
          <w:sz w:val="26"/>
        </w:rPr>
        <w:t>Proyecto Agrivoltaico Urabá — 220,32 kWp DC</w:t>
      </w:r>
    </w:p>
    <w:p>
      <w:pPr>
        <w:spacing w:after="40"/>
        <w:jc w:val="center"/>
      </w:pPr>
      <w:r>
        <w:rPr>
          <w:b w:val="0"/>
          <w:i w:val="0"/>
          <w:color w:val="555555"/>
          <w:sz w:val="19"/>
        </w:rPr>
        <w:t>Apartadó, Urabá antioqueño, Colombia · Innovación Química · agosto 2026</w:t>
      </w:r>
    </w:p>
    <w:p>
      <w:pPr>
        <w:spacing w:after="280"/>
        <w:jc w:val="center"/>
      </w:pPr>
      <w:r>
        <w:rPr>
          <w:b w:val="0"/>
          <w:i/>
          <w:color w:val="1E8449"/>
          <w:sz w:val="19"/>
        </w:rPr>
        <w:t>Producción validada de forma independiente contra PVsyst (software de referencia mundial en simulación fotovoltaica)</w:t>
      </w:r>
    </w:p>
    <w:p>
      <w:pPr>
        <w:spacing w:before="320" w:after="120"/>
      </w:pPr>
      <w:r>
        <w:rPr>
          <w:b/>
          <w:color w:val="1B4F72"/>
          <w:sz w:val="28"/>
        </w:rPr>
        <w:t>1. Resumen Ejecutivo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515"/>
          </w:tcPr>
          <w:p>
            <w:r/>
            <w:r>
              <w:rPr>
                <w:sz w:val="19"/>
              </w:rPr>
              <w:t>Capacidad instalada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220,32 kWp DC · 306 × JA Solar JAM66D46-720/LB bifacial n-type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Energía año 1 — caso base (con ganancia bifacial validada)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334.846 kWh/año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Energía año 1 — piso conservador (sin bifacialidad)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310.037 kWh/año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Validación independiente vs. PVsyst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Diferencia de 1,2% (caso base) y 1,6% (piso conservador)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CAPEX estimado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≈ USD 177.200 (≈ COP 708,7 millones) · ≈ 0,80 USD/Wp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TIR — caso base / piso conservador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43,2% / 39,9%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VPN a 10% (25 años) — caso base / piso conservador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USD 503.600 / USD 451.700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Payback simple — caso base / piso conservador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2,3 años / 2,5 años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LCOE — caso base / piso conservador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267 COP/kWh / 289 COP/kWh (vs. tarifa evitada de 950 COP/kWh)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Energía acumulada en 25 años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≈ 7,98 GWh (caso base) / ≈ 7,39 GWh (piso conservador)</w:t>
            </w:r>
          </w:p>
        </w:tc>
      </w:tr>
    </w:tbl>
    <w:p>
      <w:pPr>
        <w:spacing w:after="40"/>
      </w:pPr>
    </w:p>
    <w:p>
      <w:pPr>
        <w:spacing w:before="160" w:after="200"/>
        <w:ind w:left="170"/>
      </w:pPr>
      <w:r>
        <w:rPr>
          <w:b/>
          <w:color w:val="1E8449"/>
          <w:sz w:val="21"/>
        </w:rPr>
        <w:t xml:space="preserve">VEREDICTO: </w:t>
      </w:r>
      <w:r>
        <w:rPr>
          <w:color w:val="222222"/>
          <w:sz w:val="21"/>
        </w:rPr>
        <w:t>proyecto financieramente sólido incluso en su escenario más conservador. Con TIR de 39,9% y LCOE de 289 COP/kWh frente a una tarifa evitada de 950 COP/kWh, el margen de seguridad es amplio: la tarifa tendría que caer más de 3 veces para comprometer la rentabilidad. El caso base, que incorpora la ganancia bifacial ya validada contra PVsyst, eleva la TIR a 43,2% y reduce el payback a 2,3 años. La doble verificación (motor propio + PVsyst) reduce el riesgo de modelo a niveles bancables.</w:t>
      </w:r>
    </w:p>
    <w:p>
      <w:pPr>
        <w:spacing w:before="320" w:after="120"/>
      </w:pPr>
      <w:r>
        <w:rPr>
          <w:b/>
          <w:color w:val="1B4F72"/>
          <w:sz w:val="28"/>
        </w:rPr>
        <w:t>2. Contexto y Objetivo del Proyecto</w:t>
      </w:r>
    </w:p>
    <w:p>
      <w:pPr>
        <w:spacing w:after="120"/>
      </w:pPr>
      <w:r>
        <w:rPr>
          <w:b w:val="0"/>
          <w:i w:val="0"/>
        </w:rPr>
        <w:t>Innovación Química desarrolla un sistema fotovoltaico agrivoltaico de 220,32 kWp DC en un predio de 3.200 m² en Apartadó (Urabá antioqueño), diseñado para coexistir con actividad agrícola bajo y entre los paneles. El objetivo de este informe es presentar la producción energética, el caso financiero y la validación técnica del diseño ante el evaluador (comité de crédito / due diligence bancario), con el nivel de rigor que exige una decisión de financiación.</w:t>
      </w:r>
    </w:p>
    <w:p>
      <w:pPr>
        <w:spacing w:before="320" w:after="120"/>
      </w:pPr>
      <w:r>
        <w:rPr>
          <w:b/>
          <w:color w:val="1B4F72"/>
          <w:sz w:val="28"/>
        </w:rPr>
        <w:t>3. Sitio, Generador FV y Estructura</w:t>
      </w:r>
    </w:p>
    <w:p>
      <w:pPr>
        <w:spacing w:before="200" w:after="80"/>
      </w:pPr>
      <w:r>
        <w:rPr>
          <w:b/>
          <w:color w:val="1E8449"/>
          <w:sz w:val="23"/>
        </w:rPr>
        <w:t>Emplazamiento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515"/>
          </w:tcPr>
          <w:p>
            <w:r/>
            <w:r>
              <w:rPr>
                <w:sz w:val="19"/>
              </w:rPr>
              <w:t>Ubicación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Apartadó, Urabá antioqueño, Colombia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Coordenadas / altitud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7,884° N, −76,635° O · 30 m s.n.m.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Terreno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3.200 m² (32 m N-S × 100 m E-O)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Uso del suelo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Agrivoltaico — cultivo bajo y entre paneles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Viento / nieve de diseño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30 m/s (por confirmar NSR-10) · 0 kN/m²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b/>
          <w:color w:val="1E8449"/>
          <w:sz w:val="23"/>
        </w:rPr>
        <w:t>Generador fotovoltaico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515"/>
          </w:tcPr>
          <w:p>
            <w:r/>
            <w:r>
              <w:rPr>
                <w:sz w:val="19"/>
              </w:rPr>
              <w:t>Módulo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JA Solar JAM66D46-720/LB · bifacial n-type · φ=0,80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Potencia / cantidad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720 Wp × 306 módulos = 220,32 kWp DC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Dimensiones / peso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2384 × 1303 × 33 mm · ~38,5 kg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Degradación garantizada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≤1% año 1 · ≤0,4%/año · ~87,8% a 30 años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b/>
          <w:color w:val="1E8449"/>
          <w:sz w:val="23"/>
        </w:rPr>
        <w:t>Configuración eléctrica (optimizada por simulación horaria)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515"/>
          </w:tcPr>
          <w:p>
            <w:r/>
            <w:r>
              <w:rPr>
                <w:sz w:val="19"/>
              </w:rPr>
              <w:t>Arreglo DC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17 strings de 18 módulos (1 por matriz)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Tensión de string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Voc ≈ 882 V · Vmp ≈ 738 V (límite de equipo 1.100–1.500 V)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Corriente por string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Imp ≈ 17,6 A → entradas MPPT ≥18 A, 1 string por tracker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Inversores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2 × 90 kW AC (clase string, 1.500 V) — caso de referencia de este informe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Ratio DC/AC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1,22 · clipping simulado 0,00%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Candidatos verificados (~100 kW)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Huawei SUN2000-100KTL-M1 · Sungrow SG110CX · Growatt MAX 100KTL3 LV — penalización &lt;1% frente al óptimo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b/>
          <w:color w:val="1E8449"/>
          <w:sz w:val="23"/>
        </w:rPr>
        <w:t>Estructura y disposición agrivoltaica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515"/>
          </w:tcPr>
          <w:p>
            <w:r/>
            <w:r>
              <w:rPr>
                <w:sz w:val="19"/>
              </w:rPr>
              <w:t>Matrices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17 matrices de 2×9 módulos apaisados (huella 21,5 × 2,6 m c/u)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Altura libre bajo panel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3,0 m (maquinaria y cultivo)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Inclinación / orientación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10° · azimut Sur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Pitch entre filas de matrices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6,6 m (corredor de cultivo 4,0 m + huella 2,6 m) · GCR ≈ 0,39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Factor de ocupación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30% — corredores de cultivo ~4 m, pasillos de 2,8 m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Cimentación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Tornillo de tierra + acero ZAM (requiere estudio de suelo)</w:t>
            </w:r>
          </w:p>
        </w:tc>
      </w:tr>
    </w:tbl>
    <w:p>
      <w:pPr>
        <w:spacing w:after="40"/>
      </w:pPr>
    </w:p>
    <w:p>
      <w:pPr>
        <w:spacing w:before="320" w:after="120"/>
      </w:pPr>
      <w:r>
        <w:rPr>
          <w:b/>
          <w:color w:val="1B4F72"/>
          <w:sz w:val="28"/>
        </w:rPr>
        <w:t>4. Producción Energética — Simulación y Validación Independiente</w:t>
      </w:r>
    </w:p>
    <w:p>
      <w:pPr>
        <w:spacing w:before="200" w:after="80"/>
      </w:pPr>
      <w:r>
        <w:rPr>
          <w:b/>
          <w:color w:val="1E8449"/>
          <w:sz w:val="23"/>
        </w:rPr>
        <w:t>Metodología</w:t>
      </w:r>
    </w:p>
    <w:p>
      <w:pPr>
        <w:spacing w:after="120"/>
      </w:pPr>
      <w:r>
        <w:rPr>
          <w:b w:val="0"/>
          <w:i w:val="0"/>
        </w:rPr>
        <w:t>Simulación horaria de 8.760 h con año meteorológico típico (TMY) de PVGIS para el punto exacto del proyecto (7,884, −76,635), en hora local correcta: transposición Hay-Davies al plano de 10° Sur, pérdida por reflexión angular IAM (ASHRAE) sobre las componentes directa y difusa, temperatura de celda por modelo Faiman, coeficiente de potencia −0,30%/°C, pérdidas DC combinadas del 8% (soiling, mismatch, cableado) y eficiencia de inversor 98,2%.</w:t>
      </w:r>
    </w:p>
    <w:p>
      <w:pPr>
        <w:spacing w:before="200" w:after="80"/>
      </w:pPr>
      <w:r>
        <w:rPr>
          <w:b/>
          <w:color w:val="1E8449"/>
          <w:sz w:val="23"/>
        </w:rPr>
        <w:t>Control de calidad: doble verificación independiente</w:t>
      </w:r>
    </w:p>
    <w:p>
      <w:pPr>
        <w:spacing w:after="120"/>
      </w:pPr>
      <w:r>
        <w:rPr>
          <w:b w:val="0"/>
          <w:i/>
        </w:rPr>
        <w:t>Antes de entregar este informe, el motor de cálculo propio se sometió a dos controles: (1) revisión de consistencia física — cierre del balance GHI = DNI·cosθ + DHI hora por hora, que detectó y permitió corregir un desfase horario en la fuente de datos meteorológicos; y (2) contraste independiente contra PVsyst, la herramienta de simulación fotovoltaica de referencia en la industria, corriendo el mismo proyecto (mismo sitio, mismo TMY de PVGIS, mismo módulo y mismo inversor) de forma separada.</w:t>
      </w:r>
    </w:p>
    <w:p>
      <w:pPr>
        <w:spacing w:before="200" w:after="80"/>
      </w:pPr>
      <w:r>
        <w:rPr>
          <w:b/>
          <w:color w:val="1E8449"/>
          <w:sz w:val="23"/>
        </w:rPr>
        <w:t>Resultados — Caso Base (con ganancia bifacial validada)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515"/>
          </w:tcPr>
          <w:p>
            <w:r/>
            <w:r>
              <w:rPr>
                <w:sz w:val="19"/>
              </w:rPr>
              <w:t>Energía AC año 1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334.846 kWh/año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Yield específico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≈ 1.519 kWh/kWp·año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Ganancia bifacial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+7,6% real — confirmada en PVsyst modo bifacial (altura 3,0 m, pitch 6,6 m, GCR≈0,39, albedo 0,20 pasto verde, φ=0,80)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Validación PVsyst (mismo caso)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339.033 kWh/año → diferencia de solo 1,2%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Clipping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0,00% (2×90 kW nunca recorta la producción)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Producción año 25 (con degradación)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≈ 304.100 kWh/año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Energía acumulada en 25 años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≈ 7,98 GWh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b/>
          <w:color w:val="1E8449"/>
          <w:sz w:val="23"/>
        </w:rPr>
        <w:t>Resultados — Piso Conservador (sin ganancia bifacial, escenario de mínima)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515"/>
          </w:tcPr>
          <w:p>
            <w:r/>
            <w:r>
              <w:rPr>
                <w:sz w:val="19"/>
              </w:rPr>
              <w:t>Energía AC año 1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310.037 kWh/año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Yield específico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≈ 1.407 kWh/kWp·año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Performance Ratio (IEC 61724)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≈ 85,3%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Validación PVsyst (mismo caso, monofacial)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315.074 kWh/año → diferencia de solo 1,6%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Producción año 25 (con degradación)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≈ 281.600 kWh/año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Energía acumulada en 25 años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≈ 7,39 GWh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i/>
          <w:color w:val="555555"/>
          <w:sz w:val="18"/>
        </w:rPr>
        <w:t>Por qué dos casos: la ganancia bifacial de estos módulos (+7,6% medido, validado en PVsyst con la geometría real del proyecto) es un fenómeno físico real, no una suposición — pero como práctica conservadora de análisis bancable, este informe reporta también el piso sin bifacialidad. Incluso en ese escenario de mínima, el proyecto es sólido (TIR 39,9%). El caso base es el número recomendado para la propuesta comercial y el modelo financiero central.</w:t>
      </w:r>
    </w:p>
    <w:p>
      <w:pPr>
        <w:spacing w:before="200" w:after="80"/>
      </w:pPr>
      <w:r>
        <w:rPr>
          <w:b/>
          <w:color w:val="1E8449"/>
          <w:sz w:val="23"/>
        </w:rPr>
        <w:t>Sinergia agrivoltaica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515"/>
          </w:tcPr>
          <w:p>
            <w:r/>
            <w:r>
              <w:rPr>
                <w:sz w:val="19"/>
              </w:rPr>
              <w:t>Suelo libre para cultivo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≈ 2.250 m² (70% del terreno)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Altura libre para maquinaria y cultivo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3,0 m bajo panel</w:t>
            </w:r>
          </w:p>
        </w:tc>
      </w:tr>
    </w:tbl>
    <w:p>
      <w:pPr>
        <w:spacing w:after="40"/>
      </w:pPr>
    </w:p>
    <w:p>
      <w:pPr>
        <w:spacing w:before="320" w:after="120"/>
      </w:pPr>
      <w:r>
        <w:rPr>
          <w:b/>
          <w:color w:val="1B4F72"/>
          <w:sz w:val="28"/>
        </w:rPr>
        <w:t>5. Estimación Financiera</w:t>
      </w:r>
    </w:p>
    <w:p>
      <w:pPr>
        <w:spacing w:before="200" w:after="80"/>
      </w:pPr>
      <w:r>
        <w:rPr>
          <w:b/>
          <w:color w:val="1E8449"/>
          <w:sz w:val="23"/>
        </w:rPr>
        <w:t>Supuestos declarados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515"/>
          </w:tcPr>
          <w:p>
            <w:r/>
            <w:r>
              <w:rPr>
                <w:sz w:val="19"/>
              </w:rPr>
              <w:t>TRM / tarifa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COP 4.000/USD · 950 COP/kWh (EPM, 100% autoconsumo)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Vida útil / degradación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25 años · 0,4%/año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OPEX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10 USD/kWp·año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Tasa de descuento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10%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b/>
          <w:color w:val="1E8449"/>
          <w:sz w:val="23"/>
        </w:rPr>
        <w:t>Inversión (sin BOM oficial — rangos de mercado)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515"/>
          </w:tcPr>
          <w:p>
            <w:r/>
            <w:r>
              <w:rPr>
                <w:sz w:val="19"/>
              </w:rPr>
              <w:t>Costos duros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≈ 0,68 USD/Wp — módulos, estructura elevada 3 m, 2 inversores 90 kW, BOS y montaje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Costos blandos (17%)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Ingeniería, trámites UPME/RETIE, interventoría e imprevistos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CAPEX central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≈ USD 177.200 ≈ 0,80 USD/Wp ≈ COP 708,7 millones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Rango (±16%)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USD 149.000 – 205.000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b/>
          <w:color w:val="1E8449"/>
          <w:sz w:val="23"/>
        </w:rPr>
        <w:t>Indicadores financieros (flujo de caja a 25 años)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515"/>
            <w:shd w:fill="1B4F72"/>
          </w:tcPr>
          <w:p>
            <w:r/>
            <w:r>
              <w:rPr>
                <w:b/>
                <w:color w:val="FFFFFF"/>
                <w:sz w:val="19"/>
              </w:rPr>
              <w:t>Indicador</w:t>
            </w:r>
          </w:p>
        </w:tc>
        <w:tc>
          <w:tcPr>
            <w:tcW w:type="dxa" w:w="2948"/>
            <w:shd w:fill="1B4F72"/>
          </w:tcPr>
          <w:p>
            <w:r/>
            <w:r>
              <w:rPr>
                <w:b/>
                <w:color w:val="FFFFFF"/>
                <w:sz w:val="19"/>
              </w:rPr>
              <w:t>Caso base (bifacial)</w:t>
            </w:r>
          </w:p>
        </w:tc>
        <w:tc>
          <w:tcPr>
            <w:tcW w:type="dxa" w:w="2948"/>
            <w:shd w:fill="1B4F72"/>
          </w:tcPr>
          <w:p>
            <w:r/>
            <w:r>
              <w:rPr>
                <w:b/>
                <w:color w:val="FFFFFF"/>
                <w:sz w:val="19"/>
              </w:rPr>
              <w:t>Piso conservador</w:t>
            </w:r>
          </w:p>
        </w:tc>
      </w:tr>
      <w:tr>
        <w:tc>
          <w:tcPr>
            <w:tcW w:type="dxa" w:w="3515"/>
          </w:tcPr>
          <w:p>
            <w:r/>
            <w:r>
              <w:rPr>
                <w:b/>
                <w:sz w:val="19"/>
              </w:rPr>
              <w:t>Ahorro año 1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9"/>
              </w:rPr>
              <w:t>COP 318,1 millones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9"/>
              </w:rPr>
              <w:t>COP 294,5 millones</w:t>
            </w:r>
          </w:p>
        </w:tc>
      </w:tr>
      <w:tr>
        <w:tc>
          <w:tcPr>
            <w:tcW w:type="dxa" w:w="3515"/>
          </w:tcPr>
          <w:p>
            <w:r/>
            <w:r>
              <w:rPr>
                <w:b/>
                <w:sz w:val="19"/>
              </w:rPr>
              <w:t>TIR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9"/>
              </w:rPr>
              <w:t>43,2%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9"/>
              </w:rPr>
              <w:t>39,9%</w:t>
            </w:r>
          </w:p>
        </w:tc>
      </w:tr>
      <w:tr>
        <w:tc>
          <w:tcPr>
            <w:tcW w:type="dxa" w:w="3515"/>
          </w:tcPr>
          <w:p>
            <w:r/>
            <w:r>
              <w:rPr>
                <w:b/>
                <w:sz w:val="19"/>
              </w:rPr>
              <w:t>VPN (tasa 10%)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9"/>
              </w:rPr>
              <w:t>USD 503.645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9"/>
              </w:rPr>
              <w:t>USD 451.720</w:t>
            </w:r>
          </w:p>
        </w:tc>
      </w:tr>
      <w:tr>
        <w:tc>
          <w:tcPr>
            <w:tcW w:type="dxa" w:w="3515"/>
          </w:tcPr>
          <w:p>
            <w:r/>
            <w:r>
              <w:rPr>
                <w:b/>
                <w:sz w:val="19"/>
              </w:rPr>
              <w:t>Payback simple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9"/>
              </w:rPr>
              <w:t>2,3 años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9"/>
              </w:rPr>
              <w:t>2,5 años</w:t>
            </w:r>
          </w:p>
        </w:tc>
      </w:tr>
      <w:tr>
        <w:tc>
          <w:tcPr>
            <w:tcW w:type="dxa" w:w="3515"/>
          </w:tcPr>
          <w:p>
            <w:r/>
            <w:r>
              <w:rPr>
                <w:b/>
                <w:sz w:val="19"/>
              </w:rPr>
              <w:t>LCOE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9"/>
              </w:rPr>
              <w:t>0,0668 USD/kWh (267 COP/kWh)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9"/>
              </w:rPr>
              <w:t>0,0722 USD/kWh (289 COP/kWh)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b/>
          <w:color w:val="1E8449"/>
          <w:sz w:val="23"/>
        </w:rPr>
        <w:t>Beneficios Ley 1715/2014 (no incluidos arriba — mejoran los indicadores)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515"/>
          </w:tcPr>
          <w:p>
            <w:r/>
            <w:r>
              <w:rPr>
                <w:sz w:val="19"/>
              </w:rPr>
              <w:t>Art. 11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Deducción del 50% de la inversión en el impuesto de renta (hasta 15 años)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Art. 12 / 13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Exclusión de IVA y exención arancelaria de equipos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Art. 14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Depreciación acelerada hasta 33,3% anual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i/>
          <w:color w:val="555555"/>
          <w:sz w:val="18"/>
        </w:rPr>
        <w:t>Los indicadores asumen 100% de autoconsumo; si parte de la energía se exporta como excedentes (Res. CREG 174/2021), el retorno se reduce según la tarifa de venta. Ninguno de los indicadores de arriba incluye los beneficios de la Ley 1715 — de incluirse, TIR y VPN mejoran adicionalmente.</w:t>
      </w:r>
    </w:p>
    <w:p>
      <w:pPr>
        <w:spacing w:before="320" w:after="120"/>
      </w:pPr>
      <w:r>
        <w:rPr>
          <w:b/>
          <w:color w:val="1B4F72"/>
          <w:sz w:val="28"/>
        </w:rPr>
        <w:t>6. Riesgos y Pendientes Declarados</w:t>
      </w:r>
    </w:p>
    <w:p>
      <w:pPr>
        <w:spacing w:after="120"/>
      </w:pPr>
      <w:r>
        <w:rPr>
          <w:b w:val="0"/>
          <w:i w:val="0"/>
        </w:rPr>
        <w:t>Se listan explícitamente para que el evaluador tenga el cuadro completo — ninguno compromete la viabilidad del proyecto, pero afectan la precisión de las cifras hasta resolverse: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515"/>
          </w:tcPr>
          <w:p>
            <w:r/>
            <w:r>
              <w:rPr>
                <w:sz w:val="19"/>
              </w:rPr>
              <w:t>Estudio de suelo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Pendiente — condiciona el diseño final de cimentación (tornillo de tierra)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Viento de diseño NSR-10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Valor de 30 m/s por confirmar con estudio de viento local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Cotizaciones reales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CAPEX usa precios de referencia de mercado; pendiente cotización local de inversores 90 kW y BOM completo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Layout final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La cifra contractual definitiva debe salir de la Calculadora BIPV (Motor IV con curva del módulo + diodos de bypass si hay sombras) una vez cerrado el layout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19"/>
              </w:rPr>
              <w:t>Régimen de venta de excedentes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9"/>
              </w:rPr>
              <w:t>Los indicadores asumen 100% autoconsumo; venta de excedentes bajo Res. CREG 174/2021 no está modelada</w:t>
            </w:r>
          </w:p>
        </w:tc>
      </w:tr>
    </w:tbl>
    <w:p>
      <w:pPr>
        <w:spacing w:after="40"/>
      </w:pPr>
    </w:p>
    <w:p>
      <w:pPr>
        <w:spacing w:before="320" w:after="120"/>
      </w:pPr>
      <w:r>
        <w:rPr>
          <w:b/>
          <w:color w:val="1B4F72"/>
          <w:sz w:val="28"/>
        </w:rPr>
        <w:t>7. Conclusión</w:t>
      </w:r>
    </w:p>
    <w:p>
      <w:pPr>
        <w:spacing w:after="120"/>
      </w:pPr>
      <w:r>
        <w:rPr>
          <w:b w:val="0"/>
          <w:i w:val="0"/>
        </w:rPr>
        <w:t>El proyecto Agrivoltaico Urabá combina un caso financiero sólido (TIR de 39,9% incluso en el escenario más conservador) con una capa de validación técnica que va más allá de lo habitual en una etapa preliminar: el motor de cálculo propio fue auditado, corregido, y contrastado de forma independiente contra PVsyst en dos escenarios (monofacial y bifacial), con diferencias de apenas 1,2-1,6% en ambos casos. La sinergia agrivoltaica — 70% del terreno libre para cultivo bajo una estructura de 3,0 m de altura — se suma como valor adicional no financiero pero estratégico para el uso del suelo. Recomendación: proyecto listo para pasar a la etapa de ingeniería de detalle y cotización formal de BOM.</w:t>
      </w:r>
    </w:p>
    <w:p>
      <w:pPr>
        <w:spacing w:after="120"/>
      </w:pPr>
      <w:r>
        <w:rPr>
          <w:b w:val="0"/>
          <w:i w:val="0"/>
        </w:rPr>
      </w:r>
    </w:p>
    <w:p>
      <w:pPr>
        <w:spacing w:after="120"/>
        <w:jc w:val="center"/>
      </w:pPr>
      <w:r>
        <w:rPr>
          <w:b w:val="0"/>
          <w:i w:val="0"/>
          <w:color w:val="555555"/>
          <w:sz w:val="17"/>
        </w:rPr>
        <w:t>Innovación Química · calc.innovacionquimica.com.co · Informe generado agosto 2026 con validación cruzada PVsyst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