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Anexo 72 — Esquema práctico de auditoría al correr un proyecto (real o de prueba), para orientar al usuario paso a paso (19-sep-2026)</w:t>
      </w:r>
    </w:p>
    <w:p>
      <w:pPr>
        <w:jc w:val="center"/>
      </w:pPr>
      <w:r>
        <w:rPr>
          <w:i/>
          <w:color w:val="555555"/>
          <w:sz w:val="20"/>
        </w:rPr>
        <w:t>Guía operativa sincronizada con el Director SDD y la base de conocimiento del asistente</w:t>
      </w:r>
    </w:p>
    <w:p>
      <w:r>
        <w:t>Complementa la sección 25g. ("El procedimiento correcto por módulos") con una versión ejecutable, pensada para que el Asistente pueda guiar a un usuario que pregunte "¿cómo verifico que este proyecto está bien calculado antes de entregarlo?" o similar. No sustituye el criterio técnico del usuario sobre el resultado financiero de un proyecto — solo confirma que los datos que la app usó son los vigentes.</w:t>
      </w:r>
    </w:p>
    <w:p>
      <w:r>
        <w:rPr>
          <w:b/>
        </w:rPr>
        <w:t>Antes de empezar (una sola vez por sesión)</w:t>
      </w:r>
      <w:r>
        <w:t>: usar una pestaña nueva del navegador por cada proyecto/cliente, nunca reutilizar una pestaña que ya tenía otro proyecto cargado.</w:t>
      </w:r>
    </w:p>
    <w:p>
      <w:r>
        <w:rPr>
          <w:b/>
        </w:rPr>
        <w:t>Recorrido y "pruebas de fuego" recomendadas, en orden</w:t>
      </w:r>
      <w:r>
        <w:t>:</w:t>
      </w:r>
    </w:p>
    <w:p>
      <w:pPr>
        <w:pStyle w:val="ListNumber"/>
      </w:pPr>
      <w:r>
        <w:t>🏠 Proyecto — cargar ciudad/área/tarifa. Si la tarifa se editó a mano, cambiar de ciudad y volver: el valor manual no debe sobrescribirse solo.</w:t>
      </w:r>
    </w:p>
    <w:p>
      <w:pPr>
        <w:pStyle w:val="ListNumber"/>
      </w:pPr>
      <w:r>
        <w:t>☀️ Recurso Solar — ejecutar y confirmar que no hay error (POA/TMY visibles).</w:t>
      </w:r>
    </w:p>
    <w:p>
      <w:pPr>
        <w:pStyle w:val="ListNumber"/>
      </w:pPr>
      <w:r>
        <w:t xml:space="preserve">📐 Dimensionamiento — elegir panel/inversor y pulsar "▶️ Optimizar N paneles/string" (debe aparecer "✅ Diseño confirmado vigente..."). </w:t>
      </w:r>
      <w:r>
        <w:rPr>
          <w:b/>
        </w:rPr>
        <w:t>Prueba de fuego</w:t>
      </w:r>
      <w:r>
        <w:t xml:space="preserve">: cambiar panel/inversor SIN volver a pulsar el botón — debe aparecer </w:t>
      </w:r>
      <w:r>
        <w:rPr>
          <w:rFonts w:ascii="Consolas" w:hAnsi="Consolas"/>
          <w:sz w:val="18"/>
        </w:rPr>
        <w:t>⚠️ El panel o inversor cambió...</w:t>
      </w:r>
      <w:r>
        <w:t>. Confirmar de nuevo y el aviso debe desaparecer.</w:t>
      </w:r>
    </w:p>
    <w:p>
      <w:pPr>
        <w:pStyle w:val="ListNumber"/>
      </w:pPr>
      <w:r>
        <w:t xml:space="preserve">📊 Producción — simular. </w:t>
      </w:r>
      <w:r>
        <w:rPr>
          <w:b/>
        </w:rPr>
        <w:t>Prueba de fuego</w:t>
      </w:r>
      <w:r>
        <w:t xml:space="preserve">: cambiar panel/inversor y pulsar Simular otra vez sin reconfirmar en Dimensionamiento — debe bloquear con </w:t>
      </w:r>
      <w:r>
        <w:rPr>
          <w:rFonts w:ascii="Consolas" w:hAnsi="Consolas"/>
          <w:sz w:val="18"/>
        </w:rPr>
        <w:t>⛔ Simulación bloqueada: el diseño eléctrico confirmado... quedó desactualizado</w:t>
      </w:r>
      <w:r>
        <w:t xml:space="preserve"> (ver sección 70). Reconfirmar en Dimensionamiento y volver a simular debe funcionar sin bloqueo.</w:t>
      </w:r>
    </w:p>
    <w:p>
      <w:pPr>
        <w:pStyle w:val="ListNumber"/>
      </w:pPr>
      <w:r>
        <w:t>🔆 Motor Óptico (si se usa) — tras recalcularlo, Producción debe exigir volver a simular; no debe quedar un resultado viejo mostrado como vigente.</w:t>
      </w:r>
    </w:p>
    <w:p>
      <w:pPr>
        <w:pStyle w:val="ListNumber"/>
      </w:pPr>
      <w:r>
        <w:t>🔀 Mismatch/Bypass (si aplica sombreado parcial) — si se cambia la configuración eléctrica sin recalcular el bypass, la corrección de bypass debe desaparecer sola de Producción, nunca quedar restando energía de una corrida obsoleta (ver sección 71).</w:t>
      </w:r>
    </w:p>
    <w:p>
      <w:pPr>
        <w:pStyle w:val="ListNumber"/>
      </w:pPr>
      <w:r>
        <w:t xml:space="preserve">🧩/⚖️/🧭 Comparadores (si se evalúan alternativas) — ejecutarlos solo después de obtener una Producción vigente. Paneles debe mostrar </w:t>
      </w:r>
      <w:r>
        <w:rPr>
          <w:rFonts w:ascii="Consolas" w:hAnsi="Consolas"/>
          <w:sz w:val="18"/>
        </w:rPr>
        <w:t>✅</w:t>
      </w:r>
      <w:r>
        <w:t xml:space="preserve"> compatible y adoptable, </w:t>
      </w:r>
      <w:r>
        <w:rPr>
          <w:rFonts w:ascii="Consolas" w:hAnsi="Consolas"/>
          <w:sz w:val="18"/>
        </w:rPr>
        <w:t>❌</w:t>
      </w:r>
      <w:r>
        <w:t xml:space="preserve"> incompatible o </w:t>
      </w:r>
      <w:r>
        <w:rPr>
          <w:rFonts w:ascii="Consolas" w:hAnsi="Consolas"/>
          <w:sz w:val="18"/>
        </w:rPr>
        <w:t>—</w:t>
      </w:r>
      <w:r>
        <w:t xml:space="preserve"> no evaluable; Inversores debe aplicar a cada candidato su propio clipping desde la serie previa al recorte; Orientación compara E_ac/PR y no compatibilidad eléctrica. Si aparece un aviso de resultado guardado por una versión anterior, repetir la comparación: nunca reconstruirlo ni adoptar desde él. </w:t>
      </w:r>
      <w:r>
        <w:rPr>
          <w:b/>
        </w:rPr>
        <w:t>Prueba de fuego</w:t>
      </w:r>
      <w:r>
        <w:t>: adoptar una alternativa y confirmar que Producción/Financiero/CO₂ dejan de estar vigentes. Al adoptar inversor, el Motor Óptico vigente debe conservarse; vuelve a ejecutar Producción y Financiero antes de seguir. Repetir también la comparación antes de pedir al Analista local una nueva recomendación.</w:t>
      </w:r>
    </w:p>
    <w:p>
      <w:pPr>
        <w:pStyle w:val="ListNumber"/>
      </w:pPr>
      <w:r>
        <w:t xml:space="preserve">💼 Presupuesto y 💰 Financiero — calcular TIR/VPN/Payback. </w:t>
      </w:r>
      <w:r>
        <w:rPr>
          <w:b/>
        </w:rPr>
        <w:t>Prueba de fuego</w:t>
      </w:r>
      <w:r>
        <w:t xml:space="preserve">: abrir Financiero en una pestaña NUEVA (sesión limpia) — debe aparecer </w:t>
      </w:r>
      <w:r>
        <w:rPr>
          <w:rFonts w:ascii="Consolas" w:hAnsi="Consolas"/>
          <w:sz w:val="18"/>
        </w:rPr>
        <w:t>📂 Datos restaurados del proyecto guardado</w:t>
      </w:r>
      <w:r>
        <w:t xml:space="preserve"> con los mismos agregados. Si NO aparece ese aviso, el usuario no debe confiar en los valores mostrados: debe volver a 📊 Producción y simular antes de continuar (ver sección 71).</w:t>
      </w:r>
    </w:p>
    <w:p>
      <w:pPr>
        <w:pStyle w:val="ListNumber"/>
      </w:pPr>
      <w:r>
        <w:t>📄 Reporte PDF — revisar el checklist de "Estado del proyecto" (todas las secciones a incluir en ✅) y confirmar visualmente panel/inversor/N correctos justo antes de generar: esta página no se autoverifica, es la última revisión manual del usuario. Generar con el sello del Ledger de Auditoría activado si se quiere trazabilidad verificable.</w:t>
      </w:r>
    </w:p>
    <w:p>
      <w:r>
        <w:rPr>
          <w:b/>
        </w:rPr>
        <w:t>Límites vigentes de los comparadores</w:t>
      </w:r>
      <w:r>
        <w:t>:</w:t>
      </w:r>
    </w:p>
    <w:p>
      <w:pPr>
        <w:pStyle w:val="ListBullet"/>
      </w:pPr>
      <w:r>
        <w:rPr>
          <w:b/>
        </w:rPr>
        <w:t>Orientación multi-superficie:</w:t>
      </w:r>
      <w:r>
        <w:t xml:space="preserve"> no uses la adopción global de Orientación para decidir este tipo de proyecto; configura cada superficie en su flujo específico.</w:t>
      </w:r>
    </w:p>
    <w:p>
      <w:pPr>
        <w:pStyle w:val="ListBullet"/>
      </w:pPr>
      <w:r>
        <w:rPr>
          <w:b/>
        </w:rPr>
        <w:t>Vigencia de tablas y respuestas IA:</w:t>
      </w:r>
      <w:r>
        <w:t xml:space="preserve"> los comparadores todavía no tienen una firma común de entradas. Cualquier cambio de panel, inversor, orientación, TMY o diseño obliga a repetir la comparación antes de confiar en ella.</w:t>
      </w:r>
    </w:p>
    <w:p>
      <w:r>
        <w:rPr>
          <w:b/>
        </w:rPr>
        <w:t>Regla de cierre para el Asistente</w:t>
      </w:r>
      <w:r>
        <w:t>: si alguna de las 5 "pruebas de fuego" (pasos 3, 4, 6, 7, 8) no se comporta como se describe arriba, orientar al usuario a NO entregar ese proyecto todavía — es una señal de que algo en esa sesión quedó en un estado inconsistente, y debe recalcularse desde el módulo donde falló la prueba antes de continuar.</w:t>
      </w:r>
    </w:p>
    <w:p>
      <w:r>
        <w:t>Calculadora BIPV — Innovación Química</w:t>
      </w:r>
    </w:p>
    <w:p>
      <w:r>
        <w:t>Repositorio: github.com/ventas108/calculadora-bipv</w:t>
      </w:r>
    </w:p>
    <w:p>
      <w:pPr>
        <w:jc w:val="center"/>
      </w:pPr>
      <w:r>
        <w:rPr>
          <w:color w:val="888888"/>
          <w:sz w:val="18"/>
        </w:rPr>
        <w:t>Calculadora BIPV — Innovación Química · Actualizado 19-sep-2026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Anexo 72 — Esquema práctico de auditoría BIPV</dc:title>
  <dc:subject>Auditoría operativa SDD de proyectos BIPV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