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Método de auditoría SDD — Calculadora BIPV</w:t>
      </w:r>
    </w:p>
    <w:p>
      <w:r>
        <w:rPr>
          <w:b w:val="0"/>
          <w:i/>
        </w:rPr>
        <w:t>Referencia para verificar cada corrida de un proyecto real contra lo implementado en CodeSpecs. Complementa el documento de memoria 'Flujo operativo de confianza' (19-sep-2026).</w:t>
      </w:r>
    </w:p>
    <w:p>
      <w:pPr>
        <w:pStyle w:val="Heading1"/>
      </w:pPr>
      <w:r>
        <w:t>Paso 0 — Punto de entrada: el director</w:t>
      </w:r>
    </w:p>
    <w:p>
      <w:r>
        <w:rPr>
          <w:b w:val="0"/>
          <w:i w:val="0"/>
        </w:rPr>
        <w:t>Revisar en este orden antes de tocar la app:</w:t>
      </w:r>
    </w:p>
    <w:p>
      <w:pPr>
        <w:pStyle w:val="ListNumber"/>
      </w:pPr>
      <w:r>
        <w:t>CodeSpecs/00-director/vision.md — principio: nada se marca completado sin validación real.</w:t>
      </w:r>
    </w:p>
    <w:p>
      <w:pPr>
        <w:pStyle w:val="ListNumber"/>
      </w:pPr>
      <w:r>
        <w:t>CodeSpecs/00-director/arquitectura-global.md — propiedad de cada motor y funciones exclusivas de React o Streamlit.</w:t>
      </w:r>
    </w:p>
    <w:p>
      <w:pPr>
        <w:pStyle w:val="ListNumber"/>
      </w:pPr>
      <w:r>
        <w:t>CodeSpecs/00-director/mapa-dependencias.md — orden declarado (01→09) y excepciones de runtime ya documentadas (ej. 05→04).</w:t>
      </w:r>
    </w:p>
    <w:p>
      <w:pPr>
        <w:pStyle w:val="ListNumber"/>
      </w:pPr>
      <w:r>
        <w:t>CodeSpecs/00-director/contratos-entre-modulos.md — contrato vigente por módulo, comparadores y asistentes; incluye desviaciones activas.</w:t>
      </w:r>
    </w:p>
    <w:p>
      <w:pPr>
        <w:pStyle w:val="ListNumber"/>
      </w:pPr>
      <w:r>
        <w:t>CodeSpecs/00-director/registro-de-decisiones.md — historial cronológico de por qué se corrigió cada cosa; sirve para detectar si una garantía fue des-hecha después.</w:t>
      </w:r>
    </w:p>
    <w:p>
      <w:pPr>
        <w:pStyle w:val="ListNumber"/>
      </w:pPr>
      <w:r>
        <w:t>CodeSpecs/00-director/separacion-apps.md — frontera obligatoria entre React y Streamlit, rutas, procesos y despliegues independientes.</w:t>
      </w:r>
    </w:p>
    <w:p>
      <w:pPr>
        <w:pStyle w:val="Heading1"/>
      </w:pPr>
      <w:r>
        <w:t>Paso 1 — Por cada módulo (01-09), leer solo 3 cosas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te dice</w:t>
            </w:r>
          </w:p>
        </w:tc>
      </w:tr>
      <w:tr>
        <w:tc>
          <w:tcPr>
            <w:tcW w:type="dxa" w:w="4320"/>
          </w:tcPr>
          <w:p>
            <w:r>
              <w:t>problema.md (línea Estado)</w:t>
            </w:r>
          </w:p>
        </w:tc>
        <w:tc>
          <w:tcPr>
            <w:tcW w:type="dxa" w:w="4320"/>
          </w:tcPr>
          <w:p>
            <w:r>
              <w:t>completado / en validación / idea</w:t>
            </w:r>
          </w:p>
        </w:tc>
      </w:tr>
      <w:tr>
        <w:tc>
          <w:tcPr>
            <w:tcW w:type="dxa" w:w="4320"/>
          </w:tcPr>
          <w:p>
            <w:r>
              <w:t>diseno.md → "Criterios de aceptación"</w:t>
            </w:r>
          </w:p>
        </w:tc>
        <w:tc>
          <w:tcPr>
            <w:tcW w:type="dxa" w:w="4320"/>
          </w:tcPr>
          <w:p>
            <w:r>
              <w:t>El checklist de auditor: lo que el módulo promete</w:t>
            </w:r>
          </w:p>
        </w:tc>
      </w:tr>
      <w:tr>
        <w:tc>
          <w:tcPr>
            <w:tcW w:type="dxa" w:w="4320"/>
          </w:tcPr>
          <w:p>
            <w:r>
              <w:t>validacion.md → checklist + Resultado</w:t>
            </w:r>
          </w:p>
        </w:tc>
        <w:tc>
          <w:tcPr>
            <w:tcW w:type="dxa" w:w="4320"/>
          </w:tcPr>
          <w:p>
            <w:r>
              <w:t>Evidencia real que respalda la promesa y qué falta</w:t>
            </w:r>
          </w:p>
        </w:tc>
      </w:tr>
    </w:tbl>
    <w:p>
      <w:r>
        <w:rPr>
          <w:b w:val="0"/>
          <w:i w:val="0"/>
        </w:rPr>
        <w:t>Estado real al 19-sep-2026: 01 y 03–08 completados; 02 raíz archivado y reemplazado por Specs verticales (React aprobado, Streamlit en idea); 09-despliegue en validación. La independencia de Streamlit no la deja fuera del Director: exige contrato y despliegue propios.</w:t>
      </w:r>
    </w:p>
    <w:p>
      <w:pPr>
        <w:pStyle w:val="Heading1"/>
      </w:pPr>
      <w:r>
        <w:t>Paso 2 — Traducir cada criterio a una señal visible en la app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 de aceptación (resumen)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Señal en la app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Diseño no vigente no produce resultados persistibles</w:t>
            </w:r>
          </w:p>
        </w:tc>
        <w:tc>
          <w:tcPr>
            <w:tcW w:type="dxa" w:w="2880"/>
          </w:tcPr>
          <w:p>
            <w:r>
              <w:t>Banner vigente/aviso en Dimensionamiento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Simulación exige compatibilidad Y vigencia</w:t>
            </w:r>
          </w:p>
        </w:tc>
        <w:tc>
          <w:tcPr>
            <w:tcW w:type="dxa" w:w="2880"/>
          </w:tcPr>
          <w:p>
            <w:r>
              <w:t>Bloqueo explícito del botón Simular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Un solo cálculo térmico, sin doble conteo</w:t>
            </w:r>
          </w:p>
        </w:tc>
        <w:tc>
          <w:tcPr>
            <w:tcW w:type="dxa" w:w="2880"/>
          </w:tcPr>
          <w:p>
            <w:r>
              <w:t>Banner "SDM usa POA sin térmico + k_BIPV"</w:t>
            </w:r>
          </w:p>
        </w:tc>
      </w:tr>
      <w:tr>
        <w:tc>
          <w:tcPr>
            <w:tcW w:type="dxa" w:w="2880"/>
          </w:tcPr>
          <w:p>
            <w:r>
              <w:t>06</w:t>
            </w:r>
          </w:p>
        </w:tc>
        <w:tc>
          <w:tcPr>
            <w:tcW w:type="dxa" w:w="2880"/>
          </w:tcPr>
          <w:p>
            <w:r>
              <w:t>Restauración solo si el payload verifica</w:t>
            </w:r>
          </w:p>
        </w:tc>
        <w:tc>
          <w:tcPr>
            <w:tcW w:type="dxa" w:w="2880"/>
          </w:tcPr>
          <w:p>
            <w:r>
              <w:t>Aviso "📂 Datos restaurados..." o su ausencia</w:t>
            </w:r>
          </w:p>
        </w:tc>
      </w:tr>
      <w:tr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r>
              <w:t>Informes hereda vigencia, no la verifica</w:t>
            </w:r>
          </w:p>
        </w:tc>
        <w:tc>
          <w:tcPr>
            <w:tcW w:type="dxa" w:w="2880"/>
          </w:tcPr>
          <w:p>
            <w:r>
              <w:t>Sin alarma propia — confiar solo si 04/06 ya validaron</w:t>
            </w:r>
          </w:p>
        </w:tc>
      </w:tr>
      <w:tr>
        <w:tc>
          <w:tcPr>
            <w:tcW w:type="dxa" w:w="2880"/>
          </w:tcPr>
          <w:p>
            <w:r>
              <w:t>08</w:t>
            </w:r>
          </w:p>
        </w:tc>
        <w:tc>
          <w:tcPr>
            <w:tcW w:type="dxa" w:w="2880"/>
          </w:tcPr>
          <w:p>
            <w:r>
              <w:t>La infraestructura UI no invalida; adoptar sí es una operación explícita</w:t>
            </w:r>
          </w:p>
        </w:tc>
        <w:tc>
          <w:tcPr>
            <w:tcW w:type="dxa" w:w="2880"/>
          </w:tcPr>
          <w:p>
            <w:r>
              <w:t>Solo los botones Adoptar aplican la invalidación central definida</w:t>
            </w:r>
          </w:p>
        </w:tc>
      </w:tr>
      <w:tr>
        <w:tc>
          <w:tcPr>
            <w:tcW w:type="dxa" w:w="2880"/>
          </w:tcPr>
          <w:p>
            <w:r>
              <w:t>09</w:t>
            </w:r>
          </w:p>
        </w:tc>
        <w:tc>
          <w:tcPr>
            <w:tcW w:type="dxa" w:w="2880"/>
          </w:tcPr>
          <w:p>
            <w:r>
              <w:t>Servidor en el mismo commit que GitHub</w:t>
            </w:r>
          </w:p>
        </w:tc>
        <w:tc>
          <w:tcPr>
            <w:tcW w:type="dxa" w:w="2880"/>
          </w:tcPr>
          <w:p>
            <w:r>
              <w:t>git rev-parse --short HEAD idéntico en ambos lados</w:t>
            </w:r>
          </w:p>
        </w:tc>
      </w:tr>
    </w:tbl>
    <w:p>
      <w:pPr>
        <w:pStyle w:val="Heading1"/>
      </w:pPr>
      <w:r>
        <w:t>Paso 3 — Auditar los comparadores Streamlit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Comparador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Invariante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Comprobación</w:t>
            </w:r>
          </w:p>
        </w:tc>
      </w:tr>
      <w:tr>
        <w:tc>
          <w:tcPr>
            <w:tcW w:type="dxa" w:w="2880"/>
          </w:tcPr>
          <w:p>
            <w:r>
              <w:t>Inversores</w:t>
            </w:r>
          </w:p>
        </w:tc>
        <w:tc>
          <w:tcPr>
            <w:tcW w:type="dxa" w:w="2880"/>
          </w:tcPr>
          <w:p>
            <w:r>
              <w:t>Cada candidato aplica su clipping a la potencia previa al recorte</w:t>
            </w:r>
          </w:p>
        </w:tc>
        <w:tc>
          <w:tcPr>
            <w:tcW w:type="dxa" w:w="2880"/>
          </w:tcPr>
          <w:p>
            <w:r>
              <w:t>Si falta P_ac_sin_recorte_kW, debe exigir volver a Producción</w:t>
            </w:r>
          </w:p>
        </w:tc>
      </w:tr>
      <w:tr>
        <w:tc>
          <w:tcPr>
            <w:tcW w:type="dxa" w:w="2880"/>
          </w:tcPr>
          <w:p>
            <w:r>
              <w:t>Paneles</w:t>
            </w:r>
          </w:p>
        </w:tc>
        <w:tc>
          <w:tcPr>
            <w:tcW w:type="dxa" w:w="2880"/>
          </w:tcPr>
          <w:p>
            <w:r>
              <w:t>✅ adoptable; ❌ incompatible; — no evaluable. Adopta la ficha simulada</w:t>
            </w:r>
          </w:p>
        </w:tc>
        <w:tc>
          <w:tcPr>
            <w:tcW w:type="dxa" w:w="2880"/>
          </w:tcPr>
          <w:p>
            <w:r>
              <w:t>Un resultado legacy se descarta y se repite; nunca se reconstruye</w:t>
            </w:r>
          </w:p>
        </w:tc>
      </w:tr>
      <w:tr>
        <w:tc>
          <w:tcPr>
            <w:tcW w:type="dxa" w:w="2880"/>
          </w:tcPr>
          <w:p>
            <w:r>
              <w:t>Orientación</w:t>
            </w:r>
          </w:p>
        </w:tc>
        <w:tc>
          <w:tcPr>
            <w:tcW w:type="dxa" w:w="2880"/>
          </w:tcPr>
          <w:p>
            <w:r>
              <w:t>No cambia compatibilidad eléctrica y recalcula POA antes de adoptar</w:t>
            </w:r>
          </w:p>
        </w:tc>
        <w:tc>
          <w:tcPr>
            <w:tcW w:type="dxa" w:w="2880"/>
          </w:tcPr>
          <w:p>
            <w:r>
              <w:t>Después de adoptar deben caducar Producción, Finanzas y CO₂</w:t>
            </w:r>
          </w:p>
        </w:tc>
      </w:tr>
      <w:tr>
        <w:tc>
          <w:tcPr>
            <w:tcW w:type="dxa" w:w="2880"/>
          </w:tcPr>
          <w:p>
            <w:r>
              <w:t>Asistentes</w:t>
            </w:r>
          </w:p>
        </w:tc>
        <w:tc>
          <w:tcPr>
            <w:tcW w:type="dxa" w:w="2880"/>
          </w:tcPr>
          <w:p>
            <w:r>
              <w:t>El general usa manual+estado; cada Analista local usa solo su tabla actual</w:t>
            </w:r>
          </w:p>
        </w:tc>
        <w:tc>
          <w:tcPr>
            <w:tcW w:type="dxa" w:w="2880"/>
          </w:tcPr>
          <w:p>
            <w:r>
              <w:t>Ningún agente modifica el proyecto ni adopta alternativas</w:t>
            </w:r>
          </w:p>
        </w:tc>
      </w:tr>
    </w:tbl>
    <w:p>
      <w:pPr>
        <w:pStyle w:val="Heading1"/>
      </w:pPr>
      <w:r>
        <w:t>Paso 4 — Revisar desviaciones activas</w:t>
      </w:r>
    </w:p>
    <w:p>
      <w:r>
        <w:rPr>
          <w:b w:val="0"/>
          <w:i w:val="0"/>
        </w:rPr>
        <w:t>No certificar estos puntos como resueltos hasta cerrar una Spec vertical:</w:t>
      </w:r>
    </w:p>
    <w:p>
      <w:pPr>
        <w:pStyle w:val="ListBullet"/>
      </w:pPr>
      <w:r>
        <w:t>Orientación multi-superficie: la adopción global puede eliminar estado multi-superficie; falta decidir bloqueo o adopción por superficie.</w:t>
      </w:r>
    </w:p>
    <w:p>
      <w:pPr>
        <w:pStyle w:val="ListBullet"/>
      </w:pPr>
      <w:r>
        <w:t>Vigencia de tablas e IA: los resultados de los comparadores todavía no comparten una firma de entradas que pruebe que siguen actuales.</w:t>
      </w:r>
    </w:p>
    <w:p>
      <w:pPr>
        <w:pStyle w:val="Heading1"/>
      </w:pPr>
      <w:r>
        <w:t>Paso 5 — Ritual antes de correr un proyecto de cliente</w:t>
      </w:r>
    </w:p>
    <w:p>
      <w:pPr>
        <w:pStyle w:val="ListNumber"/>
      </w:pPr>
      <w:r>
        <w:t>Verificar 09: commit idéntico en GitHub y servidor.</w:t>
      </w:r>
    </w:p>
    <w:p>
      <w:pPr>
        <w:pStyle w:val="ListNumber"/>
      </w:pPr>
      <w:r>
        <w:t>Confirmar en registro-de-decisiones.md que nada reabre/revierte lo que se va a asumir como cerrado.</w:t>
      </w:r>
    </w:p>
    <w:p>
      <w:pPr>
        <w:pStyle w:val="ListNumber"/>
      </w:pPr>
      <w:r>
        <w:t>Correr el proyecto completo en orden, en una sesión limpia.</w:t>
      </w:r>
    </w:p>
    <w:p>
      <w:pPr>
        <w:pStyle w:val="ListNumber"/>
      </w:pPr>
      <w:r>
        <w:t>Verificar que cada alarma prometida aparece cuando corresponde.</w:t>
      </w:r>
    </w:p>
    <w:p>
      <w:pPr>
        <w:pStyle w:val="ListNumber"/>
      </w:pPr>
      <w:r>
        <w:t>Si algo no coincide con su CodeSpec: es una incoherencia real, se documenta (problema.md nuevo o reabierto), no se ignora.</w:t>
      </w:r>
    </w:p>
    <w:p>
      <w:pPr>
        <w:pStyle w:val="Heading1"/>
      </w:pPr>
      <w:r>
        <w:t>Límites honestos del método</w:t>
      </w:r>
    </w:p>
    <w:p>
      <w:pPr>
        <w:pStyle w:val="ListBullet"/>
      </w:pPr>
      <w:r>
        <w:t>No valida que el resultado financiero específico de un cliente sea correcto — solo garantiza que los datos usados son vigentes.</w:t>
      </w:r>
    </w:p>
    <w:p>
      <w:pPr>
        <w:pStyle w:val="ListBullet"/>
      </w:pPr>
      <w:r>
        <w:t>07 no tiene alarma propia por diseño. La infraestructura común de 08 tampoco invalida; los comandos explícitos de adopción son la excepción.</w:t>
      </w:r>
    </w:p>
    <w:p>
      <w:pPr>
        <w:pStyle w:val="ListBullet"/>
      </w:pPr>
      <w:r>
        <w:t>El agente SDD recibe la Spec y los seis documentos del Director, pero no recibe automáticamente rama, diff ni estado Git: se verifican aparte.</w:t>
      </w:r>
    </w:p>
    <w:p>
      <w:pPr>
        <w:pStyle w:val="ListBullet"/>
      </w:pPr>
      <w:r>
        <w:t>El agente SDD prepara, detecta riesgos y bloquea; no aprueba, implementa ni sustituye las pruebas reales.</w:t>
      </w:r>
    </w:p>
    <w:p>
      <w:pPr>
        <w:jc w:val="center"/>
      </w:pPr>
      <w:r>
        <w:rPr>
          <w:color w:val="888888"/>
          <w:sz w:val="18"/>
        </w:rPr>
        <w:t>Calculadora BIPV — Innovación Química · Actualizado 19-sep-2026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