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Отчёт по лабораторной работе №2, вариант 4</w:t>
      </w:r>
    </w:p>
    <w:p>
      <w:pPr>
        <w:pStyle w:val="Heading2"/>
      </w:pPr>
      <w:r>
        <w:t xml:space="preserve">Цель работы</w:t>
      </w:r>
    </w:p>
    <w:p>
      <w:pPr/>
      <w:r>
        <w:t xml:space="preserve">Реализовать, протестировать и сравнить методы повышения контраста изображений (линейное контрастирование и эквализация гистограммы, в том числе для цветных изображений), а также простейшие методы сегментации: обнаружение точек, линий и перепадов яркости.</w:t>
      </w:r>
    </w:p>
    <w:p>
      <w:pPr>
        <w:pStyle w:val="Heading2"/>
      </w:pPr>
      <w:r>
        <w:t xml:space="preserve">Задачи</w:t>
      </w:r>
    </w:p>
    <w:p>
      <w:pPr>
        <w:pStyle w:val="ListParagraph"/>
        <w:numPr>
          <w:ilvl w:val="0"/>
          <w:numId w:val="2"/>
        </w:numPr>
      </w:pPr>
      <w:r>
        <w:t xml:space="preserve">Написать программу, строящую гистограмму изображения и выводящую его статистику (минимум, максимум, среднее, σ).</w:t>
      </w:r>
    </w:p>
    <w:p>
      <w:pPr>
        <w:pStyle w:val="ListParagraph"/>
        <w:numPr>
          <w:ilvl w:val="0"/>
          <w:numId w:val="2"/>
        </w:numPr>
      </w:pPr>
      <w:r>
        <w:t xml:space="preserve">Реализовать два метода повышения контраста: линейное контрастирование и эквализацию гистограммы.</w:t>
      </w:r>
    </w:p>
    <w:p>
      <w:pPr>
        <w:pStyle w:val="ListParagraph"/>
        <w:numPr>
          <w:ilvl w:val="0"/>
          <w:numId w:val="2"/>
        </w:numPr>
      </w:pPr>
      <w:r>
        <w:t xml:space="preserve">Реализовать два подхода к эквализации цветных изображений: по каждому каналу RGB и по компоненте яркости V в пространстве HSV.</w:t>
      </w:r>
    </w:p>
    <w:p>
      <w:pPr>
        <w:pStyle w:val="ListParagraph"/>
        <w:numPr>
          <w:ilvl w:val="0"/>
          <w:numId w:val="2"/>
        </w:numPr>
      </w:pPr>
      <w:r>
        <w:t xml:space="preserve">Реализовать обнаружение точек, линий и перепадов яркости с помощью масок 3×3 и порога.</w:t>
      </w:r>
    </w:p>
    <w:p>
      <w:pPr>
        <w:pStyle w:val="ListParagraph"/>
        <w:numPr>
          <w:ilvl w:val="0"/>
          <w:numId w:val="2"/>
        </w:numPr>
      </w:pPr>
      <w:r>
        <w:t xml:space="preserve">Подобрать тестовые изображения (наилучшие и наихудшие случаи для каждого метода).</w:t>
      </w:r>
    </w:p>
    <w:p>
      <w:pPr>
        <w:pStyle w:val="ListParagraph"/>
        <w:numPr>
          <w:ilvl w:val="0"/>
          <w:numId w:val="2"/>
        </w:numPr>
      </w:pPr>
      <w:r>
        <w:t xml:space="preserve">Проанализировать достоинства и ограничения методов.</w:t>
      </w:r>
    </w:p>
    <w:p>
      <w:pPr>
        <w:pStyle w:val="Heading2"/>
      </w:pPr>
      <w:r>
        <w:t xml:space="preserve">Теоретическая часть</w:t>
      </w:r>
    </w:p>
    <w:p>
      <w:pPr/>
      <w:r>
        <w:rPr>
          <w:b/>
        </w:rPr>
        <w:t xml:space="preserve">Гистограмма</w:t>
      </w:r>
      <w:r>
        <w:t xml:space="preserve"> показывает, сколько пикселей имеет каждую яркость от 0 до 255. У малоконтрастного изображения она узкая, у тёмного смещена влево. Контраст оценивался по стандартному отклонению яркости σ: чем оно больше, тем выше контраст.</w:t>
      </w:r>
    </w:p>
    <w:p>
      <w:pPr/>
      <w:r>
        <w:rPr>
          <w:b/>
        </w:rPr>
        <w:t xml:space="preserve">Линейное контрастирование</w:t>
      </w:r>
      <w:r>
        <w:t xml:space="preserve"> растягивает диапазон яркостей [min, max] на весь диапазон 0…255. Форма гистограммы при этом не меняется.</w:t>
      </w:r>
    </w:p>
    <w:p>
      <w:pPr>
        <w:pStyle w:val="Code"/>
      </w:pPr>
      <w:bookmarkStart w:id="1" w:name="bongo_lang_latex_1"/>
      <w:bookmarkEnd w:id="1"/>
      <w:r>
        <w:t xml:space="preserve">g = \frac{(f - f_{min}) \cdot 255}{f_{max} - f_{min}}</w:t>
      </w:r>
    </w:p>
    <w:p>
      <w:pPr/>
      <w:r>
        <w:rPr>
          <w:b/>
        </w:rPr>
        <w:t xml:space="preserve">Эквализация гистограммы</w:t>
      </w:r>
      <w:r>
        <w:t xml:space="preserve"> выравнивает гистограмму с помощью накопленной функции распределения CDF. Часто встречающиеся яркости растягиваются сильнее, редкие сжимаются.</w:t>
      </w:r>
    </w:p>
    <w:p>
      <w:pPr>
        <w:pStyle w:val="Code"/>
      </w:pPr>
      <w:bookmarkStart w:id="2" w:name="bongo_lang_latex_2"/>
      <w:bookmarkEnd w:id="2"/>
      <w:r>
        <w:t xml:space="preserve">s(k) = \mathrm{round}\left(\frac{CDF(k) - CDF_{min}}{N - CDF_{min}} \cdot 255\right)</w:t>
      </w:r>
    </w:p>
    <w:p>
      <w:pPr/>
      <w:r>
        <w:rPr>
          <w:b/>
        </w:rPr>
        <w:t xml:space="preserve">Цветные изображения</w:t>
      </w:r>
      <w:r>
        <w:t xml:space="preserve">: два подхода к эквализации.</w:t>
      </w:r>
    </w:p>
    <w:p>
      <w:pPr>
        <w:pStyle w:val="ListParagraph"/>
        <w:numPr>
          <w:ilvl w:val="0"/>
          <w:numId w:val="3"/>
        </w:numPr>
      </w:pPr>
      <w:r>
        <w:t xml:space="preserve">RGB: эквализация каждого из каналов R, G, B независимо. Соотношение каналов меняется, поэтому могут появляться ложные цвета.</w:t>
      </w:r>
    </w:p>
    <w:p>
      <w:pPr>
        <w:pStyle w:val="ListParagraph"/>
        <w:numPr>
          <w:ilvl w:val="0"/>
          <w:numId w:val="3"/>
        </w:numPr>
      </w:pPr>
      <w:r>
        <w:t xml:space="preserve">HSV: эквализуется только яркость V = max(R, G, B), оттенок H и насыщенность S не меняются.</w:t>
      </w:r>
    </w:p>
    <w:p>
      <w:pPr/>
      <w:r>
        <w:rPr>
          <w:b/>
        </w:rPr>
        <w:t xml:space="preserve">Сегментация</w:t>
      </w:r>
      <w:r>
        <w:t xml:space="preserve"> выполняется свёрткой изображения с маской 3×3: R = w₁z₁ + … + w₉z₉. Пиксель считается найденным, если |R| не меньше порога T. Порог задаётся в процентах от максимального отклика. Сумма коэффициентов масок равна нулю, поэтому на однородном фоне отклик нулевой.</w:t>
      </w:r>
    </w:p>
    <w:p>
      <w:pPr>
        <w:pStyle w:val="ListParagraph"/>
        <w:numPr>
          <w:ilvl w:val="0"/>
          <w:numId w:val="4"/>
        </w:numPr>
      </w:pPr>
      <w:r>
        <w:t xml:space="preserve">Точки: маска с коэффициентом 8 в центре и −1 вокруг.</w:t>
      </w:r>
    </w:p>
    <w:p>
      <w:pPr>
        <w:pStyle w:val="ListParagraph"/>
        <w:numPr>
          <w:ilvl w:val="0"/>
          <w:numId w:val="4"/>
        </w:numPr>
      </w:pPr>
      <w:r>
        <w:t xml:space="preserve">Линии: четыре маски (горизонтальная, вертикальная, две диагональные), берётся наибольший отклик. Рассчитаны на линии шириной 1 пиксель.</w:t>
      </w:r>
    </w:p>
    <w:p>
      <w:pPr>
        <w:pStyle w:val="ListParagraph"/>
        <w:numPr>
          <w:ilvl w:val="0"/>
          <w:numId w:val="4"/>
        </w:numPr>
      </w:pPr>
      <w:r>
        <w:t xml:space="preserve">Перепады яркости: оператор Собеля, модуль градиента:</w:t>
      </w:r>
    </w:p>
    <w:p>
      <w:pPr>
        <w:pStyle w:val="Code"/>
      </w:pPr>
      <w:bookmarkStart w:id="3" w:name="bongo_lang_latex_3"/>
      <w:bookmarkEnd w:id="3"/>
      <w:r>
        <w:t xml:space="preserve">|G| = \sqrt{G_x^2 + G_y^2}</w:t>
      </w:r>
    </w:p>
    <w:p>
      <w:pPr>
        <w:pStyle w:val="Heading2"/>
      </w:pPr>
      <w:r>
        <w:t xml:space="preserve">Ход работы и результаты тестирования</w:t>
      </w:r>
    </w:p>
    <w:p>
      <w:pPr/>
      <w:r>
        <w:t xml:space="preserve">Программа реализована в виде веб-приложения (HTML5 Canvas + JavaScript) с двумя разделами: «Контраст и гистограмма» и «Точки, линии, перепады». Тестовые изображения создаются программно, есть загрузка своих.</w:t>
      </w:r>
    </w:p>
    <w:p>
      <w:pPr>
        <w:pStyle w:val="Heading3"/>
      </w:pPr>
      <w:r>
        <w:t xml:space="preserve">Повышение контраста (серые изображения)</w:t>
      </w:r>
    </w:p>
    <w:p>
      <w:pPr/>
      <w:r>
        <w:t xml:space="preserve">Стандартное отклонение яркости σ до и после обработки: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52"/>
        <w:gridCol w:w="1504"/>
        <w:gridCol w:w="1504"/>
        <w:gridCol w:w="1900"/>
      </w:tblGrid>
      <w:tr>
        <w:trPr>
          <w:tblHeader/>
        </w:trPr>
        <w:tc>
          <w:tcPr>
            <w:tcW w:w="4452" w:type="dxa"/>
            <w:shd w:val="clear" w:color="auto" w:fill="F2F2F2"/>
          </w:tcPr>
          <w:p>
            <w:pPr/>
            <w:r>
              <w:t xml:space="preserve">Изображение</w:t>
            </w:r>
          </w:p>
        </w:tc>
        <w:tc>
          <w:tcPr>
            <w:tcW w:w="1504" w:type="dxa"/>
            <w:shd w:val="clear" w:color="auto" w:fill="F2F2F2"/>
          </w:tcPr>
          <w:p>
            <w:pPr/>
            <w:r>
              <w:t xml:space="preserve">σ исходное</w:t>
            </w:r>
          </w:p>
        </w:tc>
        <w:tc>
          <w:tcPr>
            <w:tcW w:w="1504" w:type="dxa"/>
            <w:shd w:val="clear" w:color="auto" w:fill="F2F2F2"/>
          </w:tcPr>
          <w:p>
            <w:pPr/>
            <w:r>
              <w:t xml:space="preserve">σ линейное</w:t>
            </w:r>
          </w:p>
        </w:tc>
        <w:tc>
          <w:tcPr>
            <w:tcW w:w="1900" w:type="dxa"/>
            <w:shd w:val="clear" w:color="auto" w:fill="F2F2F2"/>
          </w:tcPr>
          <w:p>
            <w:pPr/>
            <w:r>
              <w:t xml:space="preserve">σ эквализация</w:t>
            </w:r>
          </w:p>
        </w:tc>
      </w:tr>
      <w:tr>
        <w:tc>
          <w:tcPr>
            <w:tcW w:w="4452" w:type="dxa"/>
          </w:tcPr>
          <w:p>
            <w:pPr/>
            <w:r>
              <w:t xml:space="preserve">Малоконтрастное (диапазон 112–141)</w:t>
            </w:r>
          </w:p>
        </w:tc>
        <w:tc>
          <w:tcPr>
            <w:tcW w:w="1504" w:type="dxa"/>
          </w:tcPr>
          <w:p>
            <w:pPr/>
            <w:r>
              <w:t xml:space="preserve">6,8</w:t>
            </w:r>
          </w:p>
        </w:tc>
        <w:tc>
          <w:tcPr>
            <w:tcW w:w="1504" w:type="dxa"/>
          </w:tcPr>
          <w:p>
            <w:pPr/>
            <w:r>
              <w:t xml:space="preserve">60,0</w:t>
            </w:r>
          </w:p>
        </w:tc>
        <w:tc>
          <w:tcPr>
            <w:tcW w:w="1900" w:type="dxa"/>
          </w:tcPr>
          <w:p>
            <w:pPr/>
            <w:r>
              <w:t xml:space="preserve">66,6</w:t>
            </w:r>
          </w:p>
        </w:tc>
      </w:tr>
      <w:tr>
        <w:tc>
          <w:tcPr>
            <w:tcW w:w="4452" w:type="dxa"/>
          </w:tcPr>
          <w:p>
            <w:pPr/>
            <w:r>
              <w:t xml:space="preserve">Тёмное (диапазон 6–64)</w:t>
            </w:r>
          </w:p>
        </w:tc>
        <w:tc>
          <w:tcPr>
            <w:tcW w:w="1504" w:type="dxa"/>
          </w:tcPr>
          <w:p>
            <w:pPr/>
            <w:r>
              <w:t xml:space="preserve">14,5</w:t>
            </w:r>
          </w:p>
        </w:tc>
        <w:tc>
          <w:tcPr>
            <w:tcW w:w="1504" w:type="dxa"/>
          </w:tcPr>
          <w:p>
            <w:pPr/>
            <w:r>
              <w:t xml:space="preserve">63,8</w:t>
            </w:r>
          </w:p>
        </w:tc>
        <w:tc>
          <w:tcPr>
            <w:tcW w:w="1900" w:type="dxa"/>
          </w:tcPr>
          <w:p>
            <w:pPr/>
            <w:r>
              <w:t xml:space="preserve">70,1</w:t>
            </w:r>
          </w:p>
        </w:tc>
      </w:tr>
      <w:tr>
        <w:tc>
          <w:tcPr>
            <w:tcW w:w="4452" w:type="dxa"/>
          </w:tcPr>
          <w:p>
            <w:pPr/>
            <w:r>
              <w:t xml:space="preserve">Малоконтрастное с выбросами (пиксели 0 и 255)</w:t>
            </w:r>
          </w:p>
        </w:tc>
        <w:tc>
          <w:tcPr>
            <w:tcW w:w="1504" w:type="dxa"/>
          </w:tcPr>
          <w:p>
            <w:pPr/>
            <w:r>
              <w:t xml:space="preserve">6,9</w:t>
            </w:r>
          </w:p>
        </w:tc>
        <w:tc>
          <w:tcPr>
            <w:tcW w:w="1504" w:type="dxa"/>
          </w:tcPr>
          <w:p>
            <w:pPr/>
            <w:r>
              <w:t xml:space="preserve">6,9</w:t>
            </w:r>
          </w:p>
        </w:tc>
        <w:tc>
          <w:tcPr>
            <w:tcW w:w="1900" w:type="dxa"/>
          </w:tcPr>
          <w:p>
            <w:pPr/>
            <w:r>
              <w:t xml:space="preserve">66,2</w:t>
            </w:r>
          </w:p>
        </w:tc>
      </w:tr>
      <w:tr>
        <w:tc>
          <w:tcPr>
            <w:tcW w:w="4452" w:type="dxa"/>
          </w:tcPr>
          <w:p>
            <w:pPr/>
            <w:r>
              <w:t xml:space="preserve">Большой однородный фон</w:t>
            </w:r>
          </w:p>
        </w:tc>
        <w:tc>
          <w:tcPr>
            <w:tcW w:w="1504" w:type="dxa"/>
          </w:tcPr>
          <w:p>
            <w:pPr/>
            <w:r>
              <w:t xml:space="preserve">35,0</w:t>
            </w:r>
          </w:p>
        </w:tc>
        <w:tc>
          <w:tcPr>
            <w:tcW w:w="1504" w:type="dxa"/>
          </w:tcPr>
          <w:p>
            <w:pPr/>
            <w:r>
              <w:t xml:space="preserve">66,0</w:t>
            </w:r>
          </w:p>
        </w:tc>
        <w:tc>
          <w:tcPr>
            <w:tcW w:w="1900" w:type="dxa"/>
          </w:tcPr>
          <w:p>
            <w:pPr/>
            <w:r>
              <w:t xml:space="preserve">82,0</w:t>
            </w:r>
          </w:p>
        </w:tc>
      </w:tr>
    </w:tbl>
    <w:p>
      <w:pPr>
        <w:pStyle w:val="ListParagraph"/>
        <w:numPr>
          <w:ilvl w:val="0"/>
          <w:numId w:val="5"/>
        </w:numPr>
      </w:pPr>
      <w:r>
        <w:t xml:space="preserve">На малоконтрастном и тёмном изображениях хорошо работают оба метода, эквализация даёт чуть больший контраст.</w:t>
      </w:r>
    </w:p>
    <w:p>
      <w:pPr>
        <w:pStyle w:val="ListParagraph"/>
        <w:numPr>
          <w:ilvl w:val="0"/>
          <w:numId w:val="5"/>
        </w:numPr>
      </w:pPr>
      <w:r>
        <w:t xml:space="preserve">Наихудший случай для линейного контрастирования: изображение с выбросами. Всего два пикселя со значениями 0 и 255 делают min = 0 и max = 255, и растяжения не происходит (σ осталась 6,9). Эквализация справилась (σ = 66,2).</w:t>
      </w:r>
    </w:p>
    <w:p>
      <w:pPr>
        <w:pStyle w:val="ListParagraph"/>
        <w:numPr>
          <w:ilvl w:val="0"/>
          <w:numId w:val="5"/>
        </w:numPr>
      </w:pPr>
      <w:r>
        <w:t xml:space="preserve">Наихудший случай для эквализации: большой однородный фон. Значение σ у неё выше (82,0), но объект стал почти чёрным: фон занял верхнюю часть диапазона, а объект сжат в тёмные уровни. Линейное контрастирование сохранило объект читаемым.</w:t>
      </w:r>
    </w:p>
    <w:p>
      <w:pPr>
        <w:pStyle w:val="Heading3"/>
      </w:pPr>
      <w:r>
        <w:t xml:space="preserve">Повышение контраста (цветные изображения)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51"/>
        <w:gridCol w:w="1527"/>
        <w:gridCol w:w="2489"/>
        <w:gridCol w:w="2891"/>
      </w:tblGrid>
      <w:tr>
        <w:trPr>
          <w:tblHeader/>
        </w:trPr>
        <w:tc>
          <w:tcPr>
            <w:tcW w:w="2451" w:type="dxa"/>
            <w:shd w:val="clear" w:color="auto" w:fill="F2F2F2"/>
          </w:tcPr>
          <w:p>
            <w:pPr/>
            <w:r>
              <w:t xml:space="preserve">Изображение</w:t>
            </w:r>
          </w:p>
        </w:tc>
        <w:tc>
          <w:tcPr>
            <w:tcW w:w="1527" w:type="dxa"/>
            <w:shd w:val="clear" w:color="auto" w:fill="F2F2F2"/>
          </w:tcPr>
          <w:p>
            <w:pPr/>
            <w:r>
              <w:t xml:space="preserve">σ исходное</w:t>
            </w:r>
          </w:p>
        </w:tc>
        <w:tc>
          <w:tcPr>
            <w:tcW w:w="2489" w:type="dxa"/>
            <w:shd w:val="clear" w:color="auto" w:fill="F2F2F2"/>
          </w:tcPr>
          <w:p>
            <w:pPr/>
            <w:r>
              <w:t xml:space="preserve">σ эквализация RGB</w:t>
            </w:r>
          </w:p>
        </w:tc>
        <w:tc>
          <w:tcPr>
            <w:tcW w:w="2891" w:type="dxa"/>
            <w:shd w:val="clear" w:color="auto" w:fill="F2F2F2"/>
          </w:tcPr>
          <w:p>
            <w:pPr/>
            <w:r>
              <w:t xml:space="preserve">σ эквализация V (HSV)</w:t>
            </w:r>
          </w:p>
        </w:tc>
      </w:tr>
      <w:tr>
        <w:tc>
          <w:tcPr>
            <w:tcW w:w="2451" w:type="dxa"/>
          </w:tcPr>
          <w:p>
            <w:pPr/>
            <w:r>
              <w:t xml:space="preserve">Тёмное цветное</w:t>
            </w:r>
          </w:p>
        </w:tc>
        <w:tc>
          <w:tcPr>
            <w:tcW w:w="1527" w:type="dxa"/>
          </w:tcPr>
          <w:p>
            <w:pPr/>
            <w:r>
              <w:t xml:space="preserve">15,1</w:t>
            </w:r>
          </w:p>
        </w:tc>
        <w:tc>
          <w:tcPr>
            <w:tcW w:w="2489" w:type="dxa"/>
          </w:tcPr>
          <w:p>
            <w:pPr/>
            <w:r>
              <w:t xml:space="preserve">61,3</w:t>
            </w:r>
          </w:p>
        </w:tc>
        <w:tc>
          <w:tcPr>
            <w:tcW w:w="2891" w:type="dxa"/>
          </w:tcPr>
          <w:p>
            <w:pPr/>
            <w:r>
              <w:t xml:space="preserve">49,3</w:t>
            </w:r>
          </w:p>
        </w:tc>
      </w:tr>
      <w:tr>
        <w:tc>
          <w:tcPr>
            <w:tcW w:w="2451" w:type="dxa"/>
          </w:tcPr>
          <w:p>
            <w:pPr/>
            <w:r>
              <w:t xml:space="preserve">Цветное с дымкой</w:t>
            </w:r>
          </w:p>
        </w:tc>
        <w:tc>
          <w:tcPr>
            <w:tcW w:w="1527" w:type="dxa"/>
          </w:tcPr>
          <w:p>
            <w:pPr/>
            <w:r>
              <w:t xml:space="preserve">13,7</w:t>
            </w:r>
          </w:p>
        </w:tc>
        <w:tc>
          <w:tcPr>
            <w:tcW w:w="2489" w:type="dxa"/>
          </w:tcPr>
          <w:p>
            <w:pPr/>
            <w:r>
              <w:t xml:space="preserve">61,1</w:t>
            </w:r>
          </w:p>
        </w:tc>
        <w:tc>
          <w:tcPr>
            <w:tcW w:w="2891" w:type="dxa"/>
          </w:tcPr>
          <w:p>
            <w:pPr/>
            <w:r>
              <w:t xml:space="preserve">56,9</w:t>
            </w:r>
          </w:p>
        </w:tc>
      </w:tr>
    </w:tbl>
    <w:p>
      <w:pPr>
        <w:pStyle w:val="ListParagraph"/>
        <w:numPr>
          <w:ilvl w:val="0"/>
          <w:numId w:val="6"/>
        </w:numPr>
      </w:pPr>
      <w:r>
        <w:t xml:space="preserve">Эквализация по RGB даёт больший контраст, но искажает цвета: на изображении с дымкой небо стало фиолетовым, а дом жёлтым. Причина в том, что у каналов разные гистограммы, поэтому соотношение R : G : B меняется.</w:t>
      </w:r>
    </w:p>
    <w:p>
      <w:pPr>
        <w:pStyle w:val="ListParagraph"/>
        <w:numPr>
          <w:ilvl w:val="0"/>
          <w:numId w:val="6"/>
        </w:numPr>
      </w:pPr>
      <w:r>
        <w:t xml:space="preserve">Эквализация по V в HSV оставляет оттенки прежними, цвета выглядят естественно. Контраст выше исходного, но ниже, чем у RGB.</w:t>
      </w:r>
    </w:p>
    <w:p>
      <w:pPr>
        <w:pStyle w:val="Heading3"/>
      </w:pPr>
      <w:r>
        <w:t xml:space="preserve">Сегментация</w:t>
      </w:r>
    </w:p>
    <w:p>
      <w:pPr/>
      <w:r>
        <w:t xml:space="preserve">На тестовых изображениях (256×256 с небольшим шумом σ = 3) количество найденных пикселей при разных порогах: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750"/>
        <w:gridCol w:w="1522"/>
        <w:gridCol w:w="1522"/>
        <w:gridCol w:w="1522"/>
        <w:gridCol w:w="1522"/>
        <w:gridCol w:w="1522"/>
      </w:tblGrid>
      <w:tr>
        <w:trPr>
          <w:tblHeader/>
        </w:trPr>
        <w:tc>
          <w:tcPr>
            <w:tcW w:w="1750" w:type="dxa"/>
            <w:shd w:val="clear" w:color="auto" w:fill="F2F2F2"/>
          </w:tcPr>
          <w:p>
            <w:pPr/>
            <w:r>
              <w:t xml:space="preserve">Изображение и метод</w:t>
            </w:r>
          </w:p>
        </w:tc>
        <w:tc>
          <w:tcPr>
            <w:tcW w:w="1522" w:type="dxa"/>
            <w:shd w:val="clear" w:color="auto" w:fill="F2F2F2"/>
          </w:tcPr>
          <w:p>
            <w:pPr/>
            <w:r>
              <w:t xml:space="preserve">Порог 10 %</w:t>
            </w:r>
          </w:p>
        </w:tc>
        <w:tc>
          <w:tcPr>
            <w:tcW w:w="1522" w:type="dxa"/>
            <w:shd w:val="clear" w:color="auto" w:fill="F2F2F2"/>
          </w:tcPr>
          <w:p>
            <w:pPr/>
            <w:r>
              <w:t xml:space="preserve">Порог 20 %</w:t>
            </w:r>
          </w:p>
        </w:tc>
        <w:tc>
          <w:tcPr>
            <w:tcW w:w="1522" w:type="dxa"/>
            <w:shd w:val="clear" w:color="auto" w:fill="F2F2F2"/>
          </w:tcPr>
          <w:p>
            <w:pPr/>
            <w:r>
              <w:t xml:space="preserve">Порог 40 %</w:t>
            </w:r>
          </w:p>
        </w:tc>
        <w:tc>
          <w:tcPr>
            <w:tcW w:w="1522" w:type="dxa"/>
            <w:shd w:val="clear" w:color="auto" w:fill="F2F2F2"/>
          </w:tcPr>
          <w:p>
            <w:pPr/>
            <w:r>
              <w:t xml:space="preserve">Порог 55 %</w:t>
            </w:r>
          </w:p>
        </w:tc>
        <w:tc>
          <w:tcPr>
            <w:tcW w:w="1522" w:type="dxa"/>
            <w:shd w:val="clear" w:color="auto" w:fill="F2F2F2"/>
          </w:tcPr>
          <w:p>
            <w:pPr/>
            <w:r>
              <w:t xml:space="preserve">Порог 70 %</w:t>
            </w:r>
          </w:p>
        </w:tc>
      </w:tr>
      <w:tr>
        <w:tc>
          <w:tcPr>
            <w:tcW w:w="1750" w:type="dxa"/>
          </w:tcPr>
          <w:p>
            <w:pPr/>
            <w:r>
              <w:t xml:space="preserve">14 точек, метод «Точки»</w:t>
            </w:r>
          </w:p>
        </w:tc>
        <w:tc>
          <w:tcPr>
            <w:tcW w:w="1522" w:type="dxa"/>
          </w:tcPr>
          <w:p>
            <w:pPr/>
            <w:r>
              <w:t xml:space="preserve">82</w:t>
            </w:r>
          </w:p>
        </w:tc>
        <w:tc>
          <w:tcPr>
            <w:tcW w:w="1522" w:type="dxa"/>
          </w:tcPr>
          <w:p>
            <w:pPr/>
            <w:r>
              <w:t xml:space="preserve">14</w:t>
            </w:r>
          </w:p>
        </w:tc>
        <w:tc>
          <w:tcPr>
            <w:tcW w:w="1522" w:type="dxa"/>
          </w:tcPr>
          <w:p>
            <w:pPr/>
            <w:r>
              <w:t xml:space="preserve">14</w:t>
            </w:r>
          </w:p>
        </w:tc>
        <w:tc>
          <w:tcPr>
            <w:tcW w:w="1522" w:type="dxa"/>
          </w:tcPr>
          <w:p>
            <w:pPr/>
            <w:r>
              <w:t xml:space="preserve">10</w:t>
            </w:r>
          </w:p>
        </w:tc>
        <w:tc>
          <w:tcPr>
            <w:tcW w:w="1522" w:type="dxa"/>
          </w:tcPr>
          <w:p>
            <w:pPr/>
            <w:r>
              <w:t xml:space="preserve">9</w:t>
            </w:r>
          </w:p>
        </w:tc>
      </w:tr>
      <w:tr>
        <w:tc>
          <w:tcPr>
            <w:tcW w:w="1750" w:type="dxa"/>
          </w:tcPr>
          <w:p>
            <w:pPr/>
            <w:r>
              <w:t xml:space="preserve">4 линии, метод «Линии»</w:t>
            </w:r>
          </w:p>
        </w:tc>
        <w:tc>
          <w:tcPr>
            <w:tcW w:w="1522" w:type="dxa"/>
          </w:tcPr>
          <w:p>
            <w:pPr/>
            <w:r>
              <w:t xml:space="preserve">2116</w:t>
            </w:r>
          </w:p>
        </w:tc>
        <w:tc>
          <w:tcPr>
            <w:tcW w:w="1522" w:type="dxa"/>
          </w:tcPr>
          <w:p>
            <w:pPr/>
            <w:r>
              <w:t xml:space="preserve">2116</w:t>
            </w:r>
          </w:p>
        </w:tc>
        <w:tc>
          <w:tcPr>
            <w:tcW w:w="1522" w:type="dxa"/>
          </w:tcPr>
          <w:p>
            <w:pPr/>
            <w:r>
              <w:t xml:space="preserve">1328</w:t>
            </w:r>
          </w:p>
        </w:tc>
        <w:tc>
          <w:tcPr>
            <w:tcW w:w="1522" w:type="dxa"/>
          </w:tcPr>
          <w:p>
            <w:pPr/>
            <w:r>
              <w:t xml:space="preserve">572</w:t>
            </w:r>
          </w:p>
        </w:tc>
        <w:tc>
          <w:tcPr>
            <w:tcW w:w="1522" w:type="dxa"/>
          </w:tcPr>
          <w:p>
            <w:pPr/>
            <w:r>
              <w:t xml:space="preserve">564</w:t>
            </w:r>
          </w:p>
        </w:tc>
      </w:tr>
      <w:tr>
        <w:tc>
          <w:tcPr>
            <w:tcW w:w="1750" w:type="dxa"/>
          </w:tcPr>
          <w:p>
            <w:pPr/>
            <w:r>
              <w:t xml:space="preserve">Фигуры, метод «Перепады»</w:t>
            </w:r>
          </w:p>
        </w:tc>
        <w:tc>
          <w:tcPr>
            <w:tcW w:w="1522" w:type="dxa"/>
          </w:tcPr>
          <w:p>
            <w:pPr/>
            <w:r>
              <w:t xml:space="preserve">2106</w:t>
            </w:r>
          </w:p>
        </w:tc>
        <w:tc>
          <w:tcPr>
            <w:tcW w:w="1522" w:type="dxa"/>
          </w:tcPr>
          <w:p>
            <w:pPr/>
            <w:r>
              <w:t xml:space="preserve">1975</w:t>
            </w:r>
          </w:p>
        </w:tc>
        <w:tc>
          <w:tcPr>
            <w:tcW w:w="1522" w:type="dxa"/>
          </w:tcPr>
          <w:p>
            <w:pPr/>
            <w:r>
              <w:t xml:space="preserve">1260</w:t>
            </w:r>
          </w:p>
        </w:tc>
        <w:tc>
          <w:tcPr>
            <w:tcW w:w="1522" w:type="dxa"/>
          </w:tcPr>
          <w:p>
            <w:pPr/>
            <w:r>
              <w:t xml:space="preserve">1246</w:t>
            </w:r>
          </w:p>
        </w:tc>
        <w:tc>
          <w:tcPr>
            <w:tcW w:w="1522" w:type="dxa"/>
          </w:tcPr>
          <w:p>
            <w:pPr/>
            <w:r>
              <w:t xml:space="preserve">388</w:t>
            </w:r>
          </w:p>
        </w:tc>
      </w:tr>
    </w:tbl>
    <w:p>
      <w:pPr>
        <w:pStyle w:val="ListParagraph"/>
        <w:numPr>
          <w:ilvl w:val="0"/>
          <w:numId w:val="7"/>
        </w:numPr>
      </w:pPr>
      <w:r>
        <w:t xml:space="preserve">Точки: при пороге 20–40 % найдены все 14 точек. При 10 % шум даёт ложные срабатывания (82 пикселя), при 55 % и выше пропадают тёмные точки, у которых контраст с фоном меньше.</w:t>
      </w:r>
    </w:p>
    <w:p>
      <w:pPr>
        <w:pStyle w:val="ListParagraph"/>
        <w:numPr>
          <w:ilvl w:val="0"/>
          <w:numId w:val="7"/>
        </w:numPr>
      </w:pPr>
      <w:r>
        <w:t xml:space="preserve">Линии: при пороге 55 % найдено 572 пикселя, что совпадает с числом пикселей нарисованных линий. При пороге 40 % линии утолщаются до трёх пикселей, потому что отклик на соседних с линией пикселях равен половине отклика на самой линии. При пороге 20 % и ниже появляется шум.</w:t>
      </w:r>
    </w:p>
    <w:p>
      <w:pPr>
        <w:pStyle w:val="ListParagraph"/>
        <w:numPr>
          <w:ilvl w:val="0"/>
          <w:numId w:val="7"/>
        </w:numPr>
      </w:pPr>
      <w:r>
        <w:t xml:space="preserve">Перепады: оператор Собеля выделяет границы всех трёх фигур, контуры получаются толщиной около 2 пикселей. С ростом порога остаются только границы с наибольшим перепадом яркости (при 70 % найдено 388 пикселей вместо 1975).</w:t>
      </w:r>
    </w:p>
    <w:p>
      <w:pPr>
        <w:pStyle w:val="ListParagraph"/>
        <w:numPr>
          <w:ilvl w:val="0"/>
          <w:numId w:val="7"/>
        </w:numPr>
      </w:pPr>
      <w:r>
        <w:t xml:space="preserve">Маски точек и линий на изображении с фигурами тоже дают отклик на границах и углах (например, 354 пикселя при пороге 40 % для точек), то есть для перепадов не подходят.</w:t>
      </w:r>
    </w:p>
    <w:p>
      <w:pPr>
        <w:pStyle w:val="ListParagraph"/>
        <w:numPr>
          <w:ilvl w:val="0"/>
          <w:numId w:val="7"/>
        </w:numPr>
      </w:pPr>
      <w:r>
        <w:t xml:space="preserve">Для всех методов результат сильно зависит от порога, и общего значения для всех изображений нет.</w:t>
      </w:r>
    </w:p>
    <w:p>
      <w:pPr>
        <w:pStyle w:val="Heading2"/>
      </w:pPr>
      <w:r>
        <w:t xml:space="preserve">Вывод</w:t>
      </w:r>
    </w:p>
    <w:p>
      <w:pPr/>
      <w:r>
        <w:t xml:space="preserve">Задачи выполнены: реализованы линейное контрастирование и эквализация гистограммы (для серых и цветных изображений), а также обнаружение точек, линий и перепадов яркости.</w:t>
      </w:r>
    </w:p>
    <w:p>
      <w:pPr>
        <w:pStyle w:val="ListParagraph"/>
        <w:numPr>
          <w:ilvl w:val="0"/>
          <w:numId w:val="8"/>
        </w:numPr>
      </w:pPr>
      <w:r>
        <w:t xml:space="preserve">Универсального метода повышения контраста нет. Эквализация лучше при выбросах и при сильном сужении диапазона, линейное контрастирование лучше при большом однородном фоне и сохраняет естественные соотношения яркостей.</w:t>
      </w:r>
    </w:p>
    <w:p>
      <w:pPr>
        <w:pStyle w:val="ListParagraph"/>
        <w:numPr>
          <w:ilvl w:val="0"/>
          <w:numId w:val="8"/>
        </w:numPr>
      </w:pPr>
      <w:r>
        <w:t xml:space="preserve">Для цветных изображений безопаснее эквализовать только яркость V в HSV: оттенки сохраняются. Эквализация по RGB даёт больший контраст, но порождает ложные цвета.</w:t>
      </w:r>
    </w:p>
    <w:p>
      <w:pPr>
        <w:pStyle w:val="ListParagraph"/>
        <w:numPr>
          <w:ilvl w:val="0"/>
          <w:numId w:val="8"/>
        </w:numPr>
      </w:pPr>
      <w:r>
        <w:t xml:space="preserve">Маски 3×3 надёжно находят точки и тонкие линии, а оператор Собеля находит границы фигур. Результат сильно зависит от порога: слишком низкий даёт шум, слишком высокий теряет слабые объекты. Маски линий рассчитаны только на линии шириной 1 пиксель, а контуры Собеля получаются толстыми.</w:t>
      </w:r>
    </w:p>
    <w:p>
      <w:pPr>
        <w:pStyle w:val="ListParagraph"/>
        <w:numPr>
          <w:ilvl w:val="0"/>
          <w:numId w:val="8"/>
        </w:numPr>
      </w:pPr>
      <w:r>
        <w:t xml:space="preserve">Ограничения: в работе нет подавления шума перед сегментацией и утончения границ.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Отчёт по лабораторной работе №2, вариант 4</dc:title>
  <dc:description>Claude Docs node/7e178fe6-7b57@9 docx-w7</dc:description>
  <cp:revision>9</cp:revision>
</cp:coreProperties>
</file>