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Отчёт по лабораторной работе №1: Цветовые модели</w:t>
      </w:r>
    </w:p>
    <w:p>
      <w:pPr/>
      <w:r>
        <w:t xml:space="preserve">Oct 15, 2026</w:t>
      </w:r>
      <w:r>
        <w:t xml:space="preserve"> · </w:t>
      </w:r>
      <w:r>
        <w:t xml:space="preserve">@ventel</w:t>
      </w:r>
    </w:p>
    <w:p>
      <w:pPr>
        <w:pStyle w:val="Heading2"/>
      </w:pPr>
      <w:r>
        <w:t xml:space="preserve">Цель работы и задачи</w:t>
      </w:r>
    </w:p>
    <w:p>
      <w:pPr/>
      <w:r>
        <w:rPr>
          <w:b/>
        </w:rPr>
        <w:t xml:space="preserve">Цель работы:</w:t>
      </w:r>
      <w:r>
        <w:t xml:space="preserve"> изучить цветовые модели CMYK, RGB и HSV и разработать интерактивное веб-приложение, которое показывает один и тот же цвет в трёх моделях одновременно и пересчитывает их при любом изменении.</w:t>
      </w:r>
    </w:p>
    <w:p>
      <w:pPr/>
      <w:r>
        <w:rPr>
          <w:b/>
        </w:rPr>
        <w:t xml:space="preserve">Задачи:</w:t>
      </w:r>
    </w:p>
    <w:p>
      <w:pPr>
        <w:pStyle w:val="ListParagraph"/>
        <w:numPr>
          <w:ilvl w:val="0"/>
          <w:numId w:val="2"/>
        </w:numPr>
      </w:pPr>
      <w:r>
        <w:t xml:space="preserve">Изучить формулы перевода между CMYK, RGB и HSV.</w:t>
      </w:r>
    </w:p>
    <w:p>
      <w:pPr>
        <w:pStyle w:val="ListParagraph"/>
        <w:numPr>
          <w:ilvl w:val="0"/>
          <w:numId w:val="2"/>
        </w:numPr>
      </w:pPr>
      <w:r>
        <w:t xml:space="preserve">Сделать интерфейс с полями ввода, ползунками и палитрой.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автоматический пересчёт двух других моделей при изменении любой координаты.</w:t>
      </w:r>
    </w:p>
    <w:p>
      <w:pPr/>
      <w:r>
        <w:rPr>
          <w:b/>
        </w:rPr>
        <w:t xml:space="preserve">Вариант:</w:t>
      </w:r>
      <w:r>
        <w:t xml:space="preserve"> чётный, модели CMYK – RGB – HSV.</w:t>
      </w:r>
    </w:p>
    <w:p>
      <w:pPr/>
      <w:r>
        <w:rPr>
          <w:b/>
        </w:rPr>
        <w:t xml:space="preserve">Ссылка на проект:</w:t>
      </w:r>
      <w:r>
        <w:t xml:space="preserve"> [вставьте ссылку на ваше приложение]</w:t>
      </w:r>
    </w:p>
    <w:p>
      <w:pPr>
        <w:pStyle w:val="Heading2"/>
      </w:pPr>
      <w:r>
        <w:t xml:space="preserve">Теоретическая часть</w:t>
      </w:r>
    </w:p>
    <w:p>
      <w:pPr/>
      <w:r>
        <w:rPr>
          <w:b/>
        </w:rPr>
        <w:t xml:space="preserve">RGB</w:t>
      </w:r>
      <w:r>
        <w:t xml:space="preserve"> — аддитивная модель экранов: складывается свет трёх каналов R, G, B (значения 0–255), отсчёт от чёрного.</w:t>
      </w:r>
    </w:p>
    <w:p>
      <w:pPr/>
      <w:r>
        <w:rPr>
          <w:b/>
        </w:rPr>
        <w:t xml:space="preserve">CMYK</w:t>
      </w:r>
      <w:r>
        <w:t xml:space="preserve"> — субтрактивная модель полиграфии: краски поглощают свет, отсчёт от белого, значения 0–100%. Чёрная краска K нужна, потому что смесь C, M, Y даёт грязный цвет, а чёрная краска дешевле и печатает мелкие детали точнее.</w:t>
      </w:r>
    </w:p>
    <w:p>
      <w:pPr/>
      <w:r>
        <w:rPr>
          <w:b/>
        </w:rPr>
        <w:t xml:space="preserve">HSV</w:t>
      </w:r>
      <w:r>
        <w:t xml:space="preserve"> — интуитивная модель: тон H (угол 0–360°), насыщенность S и яркость V (0–100%). При S = 0 цвет серый, при V = 0 чёрный.</w:t>
      </w:r>
    </w:p>
    <w:p>
      <w:pPr>
        <w:pStyle w:val="Heading3"/>
      </w:pPr>
      <w:r>
        <w:t xml:space="preserve">Формулы преобразования</w:t>
      </w:r>
    </w:p>
    <w:p>
      <w:pPr/>
      <w:r>
        <w:rPr>
          <w:b/>
        </w:rPr>
        <w:t xml:space="preserve">RGB → HSV:</w:t>
      </w:r>
    </w:p>
    <w:p>
      <w:pPr>
        <w:pStyle w:val="Code"/>
      </w:pPr>
      <w:bookmarkStart w:id="1" w:name="bongo_lang_latex_1"/>
      <w:bookmarkEnd w:id="1"/>
      <w:r>
        <w:t xml:space="preserve">V = \max(r,g,b),\quad \Delta = \max(r,g,b) - \min(r,g,b),\quad S = \Delta / V</w:t>
      </w:r>
    </w:p>
    <w:p/>
    <w:p>
      <w:pPr>
        <w:pStyle w:val="Code"/>
      </w:pPr>
      <w:bookmarkStart w:id="2" w:name="bongo_lang_latex_2"/>
      <w:bookmarkEnd w:id="2"/>
      <w:r>
        <w:t xml:space="preserve">H = 60^\circ \cdot \begin{cases} \left(\dfrac{g-b}{\Delta}\right) \bmod 6, &amp; V = r \\ \dfrac{b-r}{\Delta} + 2, &amp; V = g \\ \dfrac{r-g}{\Delta} + 4, &amp; V = b \end{cases}</w:t>
      </w:r>
    </w:p>
    <w:p>
      <w:pPr/>
      <w:r>
        <w:t xml:space="preserve">При Δ = 0 тон не определён (H = 0), при V = 0 полагаем S = 0.</w:t>
      </w:r>
    </w:p>
    <w:p>
      <w:pPr/>
      <w:r>
        <w:rPr>
          <w:b/>
        </w:rPr>
        <w:t xml:space="preserve">HSV → RGB:</w:t>
      </w:r>
    </w:p>
    <w:p>
      <w:pPr>
        <w:pStyle w:val="Code"/>
      </w:pPr>
      <w:bookmarkStart w:id="3" w:name="bongo_lang_latex_3"/>
      <w:bookmarkEnd w:id="3"/>
      <w:r>
        <w:t xml:space="preserve">C = V\cdot S,\quad X = C\,\bigl(1 - |(H/60^\circ) \bmod 2 - 1|\bigr),\quad m = V - C</w:t>
      </w:r>
    </w:p>
    <w:p>
      <w:pPr/>
      <w:r>
        <w:t xml:space="preserve">Порядок значений (C, X, 0) меняется в шести секторах по 60°. Итог: R = 255·(r' + m), G и B аналогично.</w:t>
      </w:r>
    </w:p>
    <w:p>
      <w:pPr/>
      <w:r>
        <w:rPr>
          <w:b/>
        </w:rPr>
        <w:t xml:space="preserve">RGB → CMYK:</w:t>
      </w:r>
    </w:p>
    <w:p>
      <w:pPr>
        <w:pStyle w:val="Code"/>
      </w:pPr>
      <w:bookmarkStart w:id="4" w:name="bongo_lang_latex_4"/>
      <w:bookmarkEnd w:id="4"/>
      <w:r>
        <w:t xml:space="preserve">K = 1 - \max(r,g,b),\quad C = \frac{1 - r - K}{1 - K},\quad M = \frac{1 - g - K}{1 - K},\quad Y = \frac{1 - b - K}{1 - K}</w:t>
      </w:r>
    </w:p>
    <w:p>
      <w:pPr/>
      <w:r>
        <w:t xml:space="preserve">При K = 1 (чёрный) деление на ноль невозможно, поэтому принимаем C = M = Y = 0.</w:t>
      </w:r>
    </w:p>
    <w:p>
      <w:pPr/>
      <w:r>
        <w:rPr>
          <w:b/>
        </w:rPr>
        <w:t xml:space="preserve">CMYK → RGB:</w:t>
      </w:r>
    </w:p>
    <w:p>
      <w:pPr>
        <w:pStyle w:val="Code"/>
      </w:pPr>
      <w:bookmarkStart w:id="5" w:name="bongo_lang_latex_5"/>
      <w:bookmarkEnd w:id="5"/>
      <w:r>
        <w:t xml:space="preserve">R = 255\,(1-C)(1-K),\quad G = 255\,(1-M)(1-K),\quad B = 255\,(1-Y)(1-K)</w:t>
      </w:r>
    </w:p>
    <w:p>
      <w:pPr/>
      <w:r>
        <w:t xml:space="preserve">Прямой формулы между HSV и CMYK нет, поэтому эти модели переводятся друг в друга через RGB.</w:t>
      </w:r>
    </w:p>
    <w:p>
      <w:pPr>
        <w:pStyle w:val="Heading2"/>
      </w:pPr>
      <w:r>
        <w:t xml:space="preserve">Ход работы</w:t>
      </w:r>
    </w:p>
    <w:p>
      <w:pPr/>
      <w:r>
        <w:rPr>
          <w:b/>
        </w:rPr>
        <w:t xml:space="preserve">Технологии и интерфейс.</w:t>
      </w:r>
      <w:r>
        <w:t xml:space="preserve"> HTML, CSS (Flexbox) и JavaScript в одном файле. Три панели (RGB, HSV, CMYK) с ползунком и числовым полем для каждой компоненты, сверху палитра (</w:t>
      </w:r>
      <w:r>
        <w:rPr>
          <w:rStyle w:val="CodeChar"/>
        </w:rPr>
        <w:t xml:space="preserve">input type="color"</w:t>
      </w:r>
      <w:r>
        <w:t xml:space="preserve">), HEX-код и образец цвета.</w:t>
      </w:r>
    </w:p>
    <w:p>
      <w:pPr/>
      <w:r>
        <w:rPr>
          <w:b/>
        </w:rPr>
        <w:t xml:space="preserve">Функции перевода.</w:t>
      </w:r>
      <w:r>
        <w:t xml:space="preserve"> </w:t>
      </w:r>
      <w:r>
        <w:rPr>
          <w:rStyle w:val="CodeChar"/>
        </w:rPr>
        <w:t xml:space="preserve">rgbToHsv</w:t>
      </w:r>
      <w:r>
        <w:t xml:space="preserve">, </w:t>
      </w:r>
      <w:r>
        <w:rPr>
          <w:rStyle w:val="CodeChar"/>
        </w:rPr>
        <w:t xml:space="preserve">hsvToRgb</w:t>
      </w:r>
      <w:r>
        <w:t xml:space="preserve">, </w:t>
      </w:r>
      <w:r>
        <w:rPr>
          <w:rStyle w:val="CodeChar"/>
        </w:rPr>
        <w:t xml:space="preserve">rgbToCmyk</w:t>
      </w:r>
      <w:r>
        <w:t xml:space="preserve">, </w:t>
      </w:r>
      <w:r>
        <w:rPr>
          <w:rStyle w:val="CodeChar"/>
        </w:rPr>
        <w:t xml:space="preserve">cmykToRgb</w:t>
      </w:r>
      <w:r>
        <w:t xml:space="preserve">. RGB служит посредником, так как прямых формул HSV ↔ CMYK нет.</w:t>
      </w:r>
    </w:p>
    <w:p>
      <w:pPr/>
      <w:r>
        <w:rPr>
          <w:b/>
        </w:rPr>
        <w:t xml:space="preserve">Алгоритм пересчёта.</w:t>
      </w:r>
      <w:r>
        <w:t xml:space="preserve"> При изменении любого поля выполняется цепочка:</w:t>
      </w:r>
    </w:p>
    <w:p>
      <w:pPr>
        <w:pStyle w:val="ListParagraph"/>
        <w:numPr>
          <w:ilvl w:val="0"/>
          <w:numId w:val="3"/>
        </w:numPr>
      </w:pPr>
      <w:r>
        <w:t xml:space="preserve">Обработчик </w:t>
      </w:r>
      <w:r>
        <w:rPr>
          <w:rStyle w:val="CodeChar"/>
        </w:rPr>
        <w:t xml:space="preserve">oninput</w:t>
      </w:r>
      <w:r>
        <w:t xml:space="preserve"> проверяет введённое число, ограничивает его диапазоном компоненты и синхронизирует ползунок с числом.</w:t>
      </w:r>
    </w:p>
    <w:p>
      <w:pPr>
        <w:pStyle w:val="ListParagraph"/>
        <w:numPr>
          <w:ilvl w:val="0"/>
          <w:numId w:val="3"/>
        </w:numPr>
      </w:pPr>
      <w:r>
        <w:t xml:space="preserve">Вызывается функция пересчёта этой панели: </w:t>
      </w:r>
      <w:r>
        <w:rPr>
          <w:rStyle w:val="CodeChar"/>
        </w:rPr>
        <w:t xml:space="preserve">fromRgb</w:t>
      </w:r>
      <w:r>
        <w:t xml:space="preserve">, </w:t>
      </w:r>
      <w:r>
        <w:rPr>
          <w:rStyle w:val="CodeChar"/>
        </w:rPr>
        <w:t xml:space="preserve">fromHsv</w:t>
      </w:r>
      <w:r>
        <w:t xml:space="preserve"> или </w:t>
      </w:r>
      <w:r>
        <w:rPr>
          <w:rStyle w:val="CodeChar"/>
        </w:rPr>
        <w:t xml:space="preserve">fromCmyk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getValues</w:t>
      </w:r>
      <w:r>
        <w:t xml:space="preserve"> читает текущие значения изменённой модели.</w:t>
      </w:r>
    </w:p>
    <w:p>
      <w:pPr>
        <w:pStyle w:val="ListParagraph"/>
        <w:numPr>
          <w:ilvl w:val="0"/>
          <w:numId w:val="3"/>
        </w:numPr>
      </w:pPr>
      <w:r>
        <w:t xml:space="preserve">Вызываются функции перевода (для HSV и CMYK — через RGB).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setValues</w:t>
      </w:r>
      <w:r>
        <w:t xml:space="preserve"> записывает результаты в две остальные панели, округляя их до целых.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showColor</w:t>
      </w:r>
      <w:r>
        <w:t xml:space="preserve"> закрашивает предпросмотр, выводит HEX и ставит тот же цвет в палитру.</w:t>
      </w:r>
    </w:p>
    <w:p>
      <w:pPr/>
      <w:r>
        <w:rPr>
          <w:b/>
        </w:rPr>
        <w:t xml:space="preserve">Защита от зацикливания и «дрожания» интерфейса.</w:t>
      </w:r>
      <w:r>
        <w:t xml:space="preserve"> Два механизма:</w:t>
      </w:r>
    </w:p>
    <w:p>
      <w:pPr>
        <w:pStyle w:val="ListParagraph"/>
        <w:numPr>
          <w:ilvl w:val="0"/>
          <w:numId w:val="4"/>
        </w:numPr>
      </w:pPr>
      <w:r>
        <w:t xml:space="preserve">Каждая из функций </w:t>
      </w:r>
      <w:r>
        <w:rPr>
          <w:rStyle w:val="CodeChar"/>
        </w:rPr>
        <w:t xml:space="preserve">fromRgb</w:t>
      </w:r>
      <w:r>
        <w:t xml:space="preserve">, </w:t>
      </w:r>
      <w:r>
        <w:rPr>
          <w:rStyle w:val="CodeChar"/>
        </w:rPr>
        <w:t xml:space="preserve">fromHsv</w:t>
      </w:r>
      <w:r>
        <w:t xml:space="preserve">, </w:t>
      </w:r>
      <w:r>
        <w:rPr>
          <w:rStyle w:val="CodeChar"/>
        </w:rPr>
        <w:t xml:space="preserve">fromCmyk</w:t>
      </w:r>
      <w:r>
        <w:t xml:space="preserve"> обновляет только две другие модели и не перезаписывает ту, с которой работает пользователь. Поэтому вводимое число не «прыгает» из-за округления.</w:t>
      </w:r>
    </w:p>
    <w:p>
      <w:pPr>
        <w:pStyle w:val="ListParagraph"/>
        <w:numPr>
          <w:ilvl w:val="0"/>
          <w:numId w:val="4"/>
        </w:numPr>
      </w:pPr>
      <w:r>
        <w:t xml:space="preserve">Запись значения в поле из кода (</w:t>
      </w:r>
      <w:r>
        <w:rPr>
          <w:rStyle w:val="CodeChar"/>
        </w:rPr>
        <w:t xml:space="preserve">.value = ...</w:t>
      </w:r>
      <w:r>
        <w:t xml:space="preserve">) не запускает событие </w:t>
      </w:r>
      <w:r>
        <w:rPr>
          <w:rStyle w:val="CodeChar"/>
        </w:rPr>
        <w:t xml:space="preserve">oninput</w:t>
      </w:r>
      <w:r>
        <w:t xml:space="preserve">, только действие пользователя. Благодаря этому панели не вызывают друг друга бесконечно.</w:t>
      </w:r>
    </w:p>
    <w:p>
      <w:pPr>
        <w:pStyle w:val="Heading2"/>
      </w:pPr>
      <w:r>
        <w:t xml:space="preserve">Проверка корректности</w:t>
      </w:r>
    </w:p>
    <w:p>
      <w:pPr/>
      <w:r>
        <w:t xml:space="preserve">Результаты сверены с ручным расчётом по формулам (значения округлены до целых):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Цвет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RGB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HSV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CMYK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Красный</w:t>
            </w:r>
          </w:p>
        </w:tc>
        <w:tc>
          <w:tcPr>
            <w:tcW w:w="2340" w:type="dxa"/>
          </w:tcPr>
          <w:p>
            <w:pPr/>
            <w:r>
              <w:t xml:space="preserve">(255, 0, 0)</w:t>
            </w:r>
          </w:p>
        </w:tc>
        <w:tc>
          <w:tcPr>
            <w:tcW w:w="2340" w:type="dxa"/>
          </w:tcPr>
          <w:p>
            <w:pPr/>
            <w:r>
              <w:t xml:space="preserve">(0°, 100%, 100%)</w:t>
            </w:r>
          </w:p>
        </w:tc>
        <w:tc>
          <w:tcPr>
            <w:tcW w:w="2340" w:type="dxa"/>
          </w:tcPr>
          <w:p>
            <w:pPr/>
            <w:r>
              <w:t xml:space="preserve">(0, 100, 100, 0)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Жёлтый</w:t>
            </w:r>
          </w:p>
        </w:tc>
        <w:tc>
          <w:tcPr>
            <w:tcW w:w="2340" w:type="dxa"/>
          </w:tcPr>
          <w:p>
            <w:pPr/>
            <w:r>
              <w:t xml:space="preserve">(255, 255, 0)</w:t>
            </w:r>
          </w:p>
        </w:tc>
        <w:tc>
          <w:tcPr>
            <w:tcW w:w="2340" w:type="dxa"/>
          </w:tcPr>
          <w:p>
            <w:pPr/>
            <w:r>
              <w:t xml:space="preserve">(60°, 100%, 100%)</w:t>
            </w:r>
          </w:p>
        </w:tc>
        <w:tc>
          <w:tcPr>
            <w:tcW w:w="2340" w:type="dxa"/>
          </w:tcPr>
          <w:p>
            <w:pPr/>
            <w:r>
              <w:t xml:space="preserve">(0, 0, 100, 0)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Зелёный</w:t>
            </w:r>
          </w:p>
        </w:tc>
        <w:tc>
          <w:tcPr>
            <w:tcW w:w="2340" w:type="dxa"/>
          </w:tcPr>
          <w:p>
            <w:pPr/>
            <w:r>
              <w:t xml:space="preserve">(0, 255, 0)</w:t>
            </w:r>
          </w:p>
        </w:tc>
        <w:tc>
          <w:tcPr>
            <w:tcW w:w="2340" w:type="dxa"/>
          </w:tcPr>
          <w:p>
            <w:pPr/>
            <w:r>
              <w:t xml:space="preserve">(120°, 100%, 100%)</w:t>
            </w:r>
          </w:p>
        </w:tc>
        <w:tc>
          <w:tcPr>
            <w:tcW w:w="2340" w:type="dxa"/>
          </w:tcPr>
          <w:p>
            <w:pPr/>
            <w:r>
              <w:t xml:space="preserve">(100, 0, 100, 0)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Синий</w:t>
            </w:r>
          </w:p>
        </w:tc>
        <w:tc>
          <w:tcPr>
            <w:tcW w:w="2340" w:type="dxa"/>
          </w:tcPr>
          <w:p>
            <w:pPr/>
            <w:r>
              <w:t xml:space="preserve">(0, 0, 255)</w:t>
            </w:r>
          </w:p>
        </w:tc>
        <w:tc>
          <w:tcPr>
            <w:tcW w:w="2340" w:type="dxa"/>
          </w:tcPr>
          <w:p>
            <w:pPr/>
            <w:r>
              <w:t xml:space="preserve">(240°, 100%, 100%)</w:t>
            </w:r>
          </w:p>
        </w:tc>
        <w:tc>
          <w:tcPr>
            <w:tcW w:w="2340" w:type="dxa"/>
          </w:tcPr>
          <w:p>
            <w:pPr/>
            <w:r>
              <w:t xml:space="preserve">(100, 100, 0, 0)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Белый</w:t>
            </w:r>
          </w:p>
        </w:tc>
        <w:tc>
          <w:tcPr>
            <w:tcW w:w="2340" w:type="dxa"/>
          </w:tcPr>
          <w:p>
            <w:pPr/>
            <w:r>
              <w:t xml:space="preserve">(255, 255, 255)</w:t>
            </w:r>
          </w:p>
        </w:tc>
        <w:tc>
          <w:tcPr>
            <w:tcW w:w="2340" w:type="dxa"/>
          </w:tcPr>
          <w:p>
            <w:pPr/>
            <w:r>
              <w:t xml:space="preserve">(0°, 0%, 100%)</w:t>
            </w:r>
          </w:p>
        </w:tc>
        <w:tc>
          <w:tcPr>
            <w:tcW w:w="2340" w:type="dxa"/>
          </w:tcPr>
          <w:p>
            <w:pPr/>
            <w:r>
              <w:t xml:space="preserve">(0, 0, 0, 0)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Чёрный</w:t>
            </w:r>
          </w:p>
        </w:tc>
        <w:tc>
          <w:tcPr>
            <w:tcW w:w="2340" w:type="dxa"/>
          </w:tcPr>
          <w:p>
            <w:pPr/>
            <w:r>
              <w:t xml:space="preserve">(0, 0, 0)</w:t>
            </w:r>
          </w:p>
        </w:tc>
        <w:tc>
          <w:tcPr>
            <w:tcW w:w="2340" w:type="dxa"/>
          </w:tcPr>
          <w:p>
            <w:pPr/>
            <w:r>
              <w:t xml:space="preserve">(0°, 0%, 0%)</w:t>
            </w:r>
          </w:p>
        </w:tc>
        <w:tc>
          <w:tcPr>
            <w:tcW w:w="2340" w:type="dxa"/>
          </w:tcPr>
          <w:p>
            <w:pPr/>
            <w:r>
              <w:t xml:space="preserve">(0, 0, 0, 100)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Серый</w:t>
            </w:r>
          </w:p>
        </w:tc>
        <w:tc>
          <w:tcPr>
            <w:tcW w:w="2340" w:type="dxa"/>
          </w:tcPr>
          <w:p>
            <w:pPr/>
            <w:r>
              <w:t xml:space="preserve">(128, 128, 128)</w:t>
            </w:r>
          </w:p>
        </w:tc>
        <w:tc>
          <w:tcPr>
            <w:tcW w:w="2340" w:type="dxa"/>
          </w:tcPr>
          <w:p>
            <w:pPr/>
            <w:r>
              <w:t xml:space="preserve">(0°, 0%, 50%)</w:t>
            </w:r>
          </w:p>
        </w:tc>
        <w:tc>
          <w:tcPr>
            <w:tcW w:w="2340" w:type="dxa"/>
          </w:tcPr>
          <w:p>
            <w:pPr/>
            <w:r>
              <w:t xml:space="preserve">(0, 0, 0, 50)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Произвольный</w:t>
            </w:r>
          </w:p>
        </w:tc>
        <w:tc>
          <w:tcPr>
            <w:tcW w:w="2340" w:type="dxa"/>
          </w:tcPr>
          <w:p>
            <w:pPr/>
            <w:r>
              <w:t xml:space="preserve">(47, 91, 216)</w:t>
            </w:r>
          </w:p>
        </w:tc>
        <w:tc>
          <w:tcPr>
            <w:tcW w:w="2340" w:type="dxa"/>
          </w:tcPr>
          <w:p>
            <w:pPr/>
            <w:r>
              <w:t xml:space="preserve">(224°, 78%, 85%)</w:t>
            </w:r>
          </w:p>
        </w:tc>
        <w:tc>
          <w:tcPr>
            <w:tcW w:w="2340" w:type="dxa"/>
          </w:tcPr>
          <w:p>
            <w:pPr/>
            <w:r>
              <w:t xml:space="preserve">(78, 58, 0, 15)</w:t>
            </w:r>
          </w:p>
        </w:tc>
      </w:tr>
    </w:tbl>
    <w:p>
      <w:pPr>
        <w:pStyle w:val="Heading2"/>
      </w:pPr>
      <w:r>
        <w:t xml:space="preserve">Вывод</w:t>
      </w:r>
    </w:p>
    <w:p>
      <w:pPr/>
      <w:r>
        <w:t xml:space="preserve">Цель достигнута: разработано приложение, которое показывает цвет в CMYK, RGB и HSV и пересчитывает модели при любом изменении. Освоены формулы перевода и особые случаи (серый и чёрный цвета). Зацикливание исключено тем, что изменяемая модель не перезаписывается.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лабораторной работе №1 Цветовые модели</dc:title>
  <dc:description>Claude Docs node/f7c707e3-9d5b@7 docx-w6</dc:description>
  <cp:revision>7</cp:revision>
</cp:coreProperties>
</file>