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40.png" ContentType="image/png"/>
  <Override PartName="/word/media/rId5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p>
    <w:p>
      <w:r>
        <w:br w:type="page"/>
      </w:r>
    </w:p>
    <w:p>
      <w:pPr>
        <w:pStyle w:val="BodyText"/>
      </w:pPr>
      <w:r>
        <w:t xml:space="preserve"> </w:t>
      </w:r>
    </w:p>
    <w:bookmarkStart w:id="26" w:name="introduction"/>
    <w:p>
      <w:pPr>
        <w:pStyle w:val="Heading1"/>
      </w:pPr>
      <w:r>
        <w:rPr>
          <w:rStyle w:val="SectionNumber"/>
        </w:rPr>
        <w:t xml:space="preserve">1</w:t>
      </w:r>
      <w:r>
        <w:tab/>
      </w:r>
      <w:r>
        <w:t xml:space="preserve">Introduction</w:t>
      </w:r>
    </w:p>
    <w:bookmarkStart w:id="20" w:name="metabolism-as-a-driving-force-in-ecology"/>
    <w:p>
      <w:pPr>
        <w:pStyle w:val="Heading2"/>
      </w:pPr>
      <w:r>
        <w:rPr>
          <w:rStyle w:val="SectionNumber"/>
        </w:rPr>
        <w:t xml:space="preserve">1.1</w:t>
      </w:r>
      <w:r>
        <w:tab/>
      </w:r>
      <w:r>
        <w:t xml:space="preserve">Metabolism as a driving force in ecology</w:t>
      </w:r>
    </w:p>
    <w:p>
      <w:pPr>
        <w:pStyle w:val="FirstParagraph"/>
      </w:pPr>
      <w:r>
        <w:t xml:space="preserve">Metabolism is the complex of physical and chemical processes involved in maintaining life. These processes convert organic compounds into molecules needed for cells to function</w:t>
      </w:r>
      <w:r>
        <w:t xml:space="preserve"> </w:t>
      </w:r>
      <w:r>
        <w:t xml:space="preserve">(Schilling et al., 2000)</w:t>
      </w:r>
      <w:r>
        <w:t xml:space="preserve">, acting as a network that allows for the regulation of substrate concentrations, product levels, and reaction rates. It includes many different substrates, enzymes, and pathways, thereby highlighting metabolism’s central role in both biochemistry and physiology</w:t>
      </w:r>
      <w:r>
        <w:t xml:space="preserve"> </w:t>
      </w:r>
      <w:r>
        <w:t xml:space="preserve">(Morowitz et al., 2000)</w:t>
      </w:r>
      <w:r>
        <w:t xml:space="preserve">. Metabolism converts the energy and material resources obtained from their environment into other forms that can be distributed and utilized across different parts of the organism</w:t>
      </w:r>
      <w:r>
        <w:t xml:space="preserve">(Killen et al., 2010)</w:t>
      </w:r>
      <w:r>
        <w:t xml:space="preserve">. These resources are employed in fitness-enhancing processes such as survival, growth, and reproduction; subsequently, the organism can excrete altered forms of these resources back into the environment</w:t>
      </w:r>
      <w:r>
        <w:t xml:space="preserve">(Kooijman, 2010)</w:t>
      </w:r>
      <w:r>
        <w:t xml:space="preserve">. As a result, metabolism regulates many aspects of an organism’s life, influencing not only its life history traits (e.g., the time required for egg hatching) but also its ecological roles</w:t>
      </w:r>
      <w:r>
        <w:t xml:space="preserve">(Burger et al., 2019)</w:t>
      </w:r>
      <w:r>
        <w:t xml:space="preserve">. Metabolism drives much of the variation in ecosystems - including biological structure, chemical composition, energy and material fluxes, population dynamics and species diversity - all regulated by the laws of conservation of mass and energy and the principles of thermodynamics.</w:t>
      </w:r>
      <w:r>
        <w:t xml:space="preserve"> </w:t>
      </w:r>
      <w:r>
        <w:t xml:space="preserve">(J. H. Brown et al., 2004)</w:t>
      </w:r>
      <w:r>
        <w:t xml:space="preserve"> </w:t>
      </w:r>
      <w:r>
        <w:t xml:space="preserve">Given the well-established principles of mass and energy conservation, it is not surprising that many ecologists are inclined to develop a metabolic theory as a conceptual foundation for ecology.</w:t>
      </w:r>
    </w:p>
    <w:p>
      <w:pPr>
        <w:pStyle w:val="BodyText"/>
      </w:pPr>
      <w:r>
        <w:t xml:space="preserve">One of the most affirmed metabolic theories is the Metabolic Theory of Ecology (MTE). MTE is a mechanistic, quantitative, synthetic framework that characterizes the effects of body size and temperature on the metabolism of individual organisms, and how metabolic rate can have far-reaching effects on higher-order ecological phenomena like populations, communities, and ecosystems. In particular, according to MTE, metabolic rates predictably scale with body size, following a power-law relationship where metabolic rate is proportional to body mass raised to the 3/4 power (often expressed as</w:t>
      </w:r>
      <w:r>
        <w:t xml:space="preserve"> </w:t>
      </w:r>
      <m:oMath>
        <m:sSup>
          <m:e>
            <m:r>
              <m:t>M</m:t>
            </m:r>
          </m:e>
          <m:sup>
            <m:r>
              <m:t>3</m:t>
            </m:r>
            <m:r>
              <m:rPr>
                <m:sty m:val="p"/>
              </m:rPr>
              <m:t>/</m:t>
            </m:r>
            <m:r>
              <m:t>4</m:t>
            </m:r>
          </m:sup>
        </m:sSup>
      </m:oMath>
      <w:r>
        <w:t xml:space="preserve">, where</w:t>
      </w:r>
      <w:r>
        <w:t xml:space="preserve"> </w:t>
      </w:r>
      <m:oMath>
        <m:r>
          <m:t>M</m:t>
        </m:r>
      </m:oMath>
      <w:r>
        <w:t xml:space="preserve"> </w:t>
      </w:r>
      <w:r>
        <w:t xml:space="preserve">is body mass). This relationship is observed across a broad spectrum of organisms, from microbes to mammals. Moreover, MTE integrates the influence of temperature on metabolic rates, recognizing that metabolic processes are influenced by temperature according to the Boltzmann-Arrhenius equation: as temperature increases, metabolic rates typically increase exponentially until a certain threshold, beyond which biological processes may be disrupted. One of the key strengths of this theory is its ability to generate clear, quantitative predictions grounded in fundamental principles. Any remaining variation can be assessed by comparing it to these predictions, and the extent and direction of these deviations can offer valuable insights into the underlying causes.</w:t>
      </w:r>
      <w:r>
        <w:t xml:space="preserve"> </w:t>
      </w:r>
      <w:r>
        <w:t xml:space="preserve">(J. H. Brown et al., 2004)</w:t>
      </w:r>
    </w:p>
    <w:p>
      <w:pPr>
        <w:pStyle w:val="BodyText"/>
      </w:pPr>
      <w:r>
        <w:t xml:space="preserve">On the other hand, the Dynamic Energy Budget (DEB) theory is a functional trait-based, mechanistic bioenergetic modeling approach that links how an individual organism manages energy and mass to maximize fitness, with implications for individual behavior and population growth. It explains that the flow of energy through an organism, as well as the efficiency of this process, is primarily controlled by metabolism, which is closely tied to body size</w:t>
      </w:r>
      <w:r>
        <w:t xml:space="preserve"> </w:t>
      </w:r>
      <w:r>
        <w:t xml:space="preserve">(Kooijman, 2010)</w:t>
      </w:r>
      <w:r>
        <w:t xml:space="preserve">. The DEB theory also considers how each species allocates the energy it obtains from its environment and how the prioritization of energy use is managed, including key decisions an organism unconsciously makes to optimize fitness throughout its lifespan</w:t>
      </w:r>
      <w:r>
        <w:t xml:space="preserve"> </w:t>
      </w:r>
      <w:r>
        <w:t xml:space="preserve">(Charnov &amp; Krebs, 1974; Loreau, 2010)</w:t>
      </w:r>
      <w:r>
        <w:t xml:space="preserve">. This model is based on a complex mathematical framework but can be simplified by partitioning into two separate large compartments (Fig.</w:t>
      </w:r>
      <w:r>
        <w:t xml:space="preserve"> </w:t>
      </w:r>
      <w:r>
        <w:t xml:space="preserve">) : an upper part that explains how energy is acquired and stored, and a lower part that explains how energy allocation is distributed and prioritized between different stages of the organism’s life history, such as development and reproduction. The connection between the compartments is represented by a middle part that indicates how all the energy coming from the upper part is stored first and then made available for direct use of the lower part.</w:t>
      </w:r>
      <w:r>
        <w:t xml:space="preserve"> </w:t>
      </w:r>
      <w:r>
        <w:t xml:space="preserve">(Sarà et al., 2014)</w:t>
      </w:r>
    </w:p>
    <w:p>
      <w:pPr>
        <w:pStyle w:val="BodyText"/>
      </w:pPr>
      <w:r>
        <w:t xml:space="preserve">Even though both MTE and DEB focus on the role of metabolism in shaping ecological and biological processes, MTE primarily emphasizes the scaling effects of body size and temperature on metabolic rates, whereas DEB provides a more detailed framework for energy acquisition and allocation across an organism’s life history stages.</w:t>
      </w:r>
    </w:p>
    <w:bookmarkEnd w:id="20"/>
    <w:bookmarkStart w:id="21" w:name="X28789e7837cb55f471ccff36664e592a44e8749"/>
    <w:p>
      <w:pPr>
        <w:pStyle w:val="Heading2"/>
      </w:pPr>
      <w:r>
        <w:rPr>
          <w:rStyle w:val="SectionNumber"/>
        </w:rPr>
        <w:t xml:space="preserve">1.2</w:t>
      </w:r>
      <w:r>
        <w:tab/>
      </w:r>
      <w:r>
        <w:t xml:space="preserve">Limitations of traditional metabolic theories: towards a comprehensive metabolic model</w:t>
      </w:r>
    </w:p>
    <w:p>
      <w:pPr>
        <w:pStyle w:val="FirstParagraph"/>
      </w:pPr>
      <w:r>
        <w:t xml:space="preserve">During the past 150 years, metabolic scaling-based theories have dominated the energetic ecology scenario</w:t>
      </w:r>
      <w:r>
        <w:t xml:space="preserve"> </w:t>
      </w:r>
      <w:r>
        <w:t xml:space="preserve">(D. S. Glazier, 2022)</w:t>
      </w:r>
      <w:r>
        <w:t xml:space="preserve">, however, a new ecological approach started to question their validity. In particular, the mechanistic modeling approaches, like MTE and DEB, have recently been considered overly simplistic and deterministic, especially about the limiting effect of body mass and surface area on the metabolic scaling exponent: they do not adequately explain the noticeable diversity in metabolic scaling relationships (Fig.</w:t>
      </w:r>
      <w:r>
        <w:t xml:space="preserve">) observed in the living world</w:t>
      </w:r>
      <w:r>
        <w:t xml:space="preserve"> </w:t>
      </w:r>
      <w:r>
        <w:t xml:space="preserve">(D. S. Glazier, 2014b)</w:t>
      </w:r>
      <w:r>
        <w:t xml:space="preserve">. This significant diversity has been considered the result of factors that are considered to be secondary in importance to those causing a presumed primary universal scaling pattern</w:t>
      </w:r>
      <w:r>
        <w:t xml:space="preserve"> </w:t>
      </w:r>
      <w:r>
        <w:t xml:space="preserve">(D. S. Glazier, 2022)</w:t>
      </w:r>
      <w:r>
        <w:t xml:space="preserve">. A limitation of theories like MET and DEB is that they focus only on one aspect of life, which is the acquisition and use of energy while ignoring how important it is the acquisition and use of information as well</w:t>
      </w:r>
      <w:r>
        <w:t xml:space="preserve"> </w:t>
      </w:r>
      <w:r>
        <w:t xml:space="preserve">(D. S. Glazier, 2015)</w:t>
      </w:r>
      <w:r>
        <w:t xml:space="preserve">. In a future and more holistic metabolic theory, instead, regulatory, information-based systems should play a central role</w:t>
      </w:r>
      <w:r>
        <w:t xml:space="preserve"> </w:t>
      </w:r>
      <w:r>
        <w:t xml:space="preserve">(D. S. Glazier, 2014a)</w:t>
      </w:r>
      <w:r>
        <w:t xml:space="preserve">, since metabolism co-adjusts the need for energy and resources depending not only on the internal but also on the external state of a living system</w:t>
      </w:r>
      <w:r>
        <w:t xml:space="preserve"> </w:t>
      </w:r>
      <w:r>
        <w:t xml:space="preserve">(D. S. Glazier, 2014a)</w:t>
      </w:r>
      <w:r>
        <w:t xml:space="preserve">. Successful organisms are in essence well</w:t>
      </w:r>
      <w:r>
        <w:t xml:space="preserve"> </w:t>
      </w:r>
      <w:r>
        <w:t xml:space="preserve">“</w:t>
      </w:r>
      <w:r>
        <w:t xml:space="preserve">informed resource users</w:t>
      </w:r>
      <w:r>
        <w:t xml:space="preserve">”</w:t>
      </w:r>
      <w:r>
        <w:t xml:space="preserve"> </w:t>
      </w:r>
      <w:r>
        <w:t xml:space="preserve">(D. Glazier, 2008)</w:t>
      </w:r>
      <w:r>
        <w:t xml:space="preserve">.</w:t>
      </w:r>
    </w:p>
    <w:p>
      <w:pPr>
        <w:pStyle w:val="BodyText"/>
      </w:pPr>
      <w:r>
        <w:t xml:space="preserve">Because of that, a more</w:t>
      </w:r>
      <w:r>
        <w:t xml:space="preserve"> </w:t>
      </w:r>
      <w:r>
        <w:t xml:space="preserve">“</w:t>
      </w:r>
      <w:r>
        <w:t xml:space="preserve">meta-mechanistic</w:t>
      </w:r>
      <w:r>
        <w:t xml:space="preserve">”</w:t>
      </w:r>
      <w:r>
        <w:t xml:space="preserve"> </w:t>
      </w:r>
      <w:r>
        <w:t xml:space="preserve">model is needed, like the Contextual Multimodal Theory (CMT)</w:t>
      </w:r>
      <w:r>
        <w:t xml:space="preserve"> </w:t>
      </w:r>
      <w:r>
        <w:t xml:space="preserve">(D. S. Glazier, 2014a)</w:t>
      </w:r>
      <w:r>
        <w:t xml:space="preserve"> </w:t>
      </w:r>
      <w:r>
        <w:t xml:space="preserve">which has the Metabolic-Level Boundaries Hypothesis (MLBH)</w:t>
      </w:r>
      <w:r>
        <w:t xml:space="preserve"> </w:t>
      </w:r>
      <w:r>
        <w:t xml:space="preserve">(D. S. Glazier, 2005)</w:t>
      </w:r>
      <w:r>
        <w:t xml:space="preserve"> </w:t>
      </w:r>
      <w:r>
        <w:t xml:space="preserve">as its central core and it is based on four focal theoretical models: Surface Area (SA), Resource Transport (RT), System Composition (SC) and Resource Demand (RD) theory (Fig.</w:t>
      </w:r>
      <w:r>
        <w:t xml:space="preserve">). If living systems are open systems that are continually affected by their environment, the CMT is able to demonstrate how the metabolic scaling exponent changes depending on the dynamic nature and complex hierarchical and interactive organization of biological systems</w:t>
      </w:r>
      <w:r>
        <w:t xml:space="preserve"> </w:t>
      </w:r>
      <w:r>
        <w:t xml:space="preserve">(D. S. Glazier, 2014a)</w:t>
      </w:r>
      <w:r>
        <w:t xml:space="preserve">.</w:t>
      </w:r>
    </w:p>
    <w:p>
      <w:pPr>
        <w:pStyle w:val="BodyText"/>
      </w:pPr>
      <w:r>
        <w:t xml:space="preserve">(Burger et al., 2019)</w:t>
      </w:r>
      <w:r>
        <w:t xml:space="preserve"> </w:t>
      </w:r>
      <w:r>
        <w:t xml:space="preserve">follows an intermediate approach, significantly expanding the classic MTE to incorporate the DEB theory philosophy. This reworked MTE focuses on biophysical constraints, such as demography and mass-energy balance, that impact life-history traits. Burger’s life-history theory explains how organisms allocate metabolic energy for fitness components like growth, survival, and reproduction across their lifespan and how energy metabolism has shaped the evolution of life histories. Despite the vast diversity in life-history strategies, species share fundamental trade-offs between the number and size of offspring, and between parental investment and offspring</w:t>
      </w:r>
    </w:p>
    <w:p>
      <w:pPr>
        <w:pStyle w:val="BodyText"/>
      </w:pPr>
      <w:r>
        <w:t xml:space="preserve">Nevertheless, metabolic and life-history theories can be seen as complementary frameworks, where metabolic scaling can be seen as a result of evolutionary optimization of growth and reproduction instead of a result of physical and geometrical constraints. Under this perspective, metabolism, growth and reproduction have coevolved to maximize fitness, and none of these factors are prioritized over the other, seeing them as interdependent. This indicates that metabolic scaling is not fixed but can change in response to selection pressures: allometric scaling of metabolic rate arises not because it is inevitable but rather because it is advantageous</w:t>
      </w:r>
      <w:r>
        <w:t xml:space="preserve"> </w:t>
      </w:r>
      <w:r>
        <w:t xml:space="preserve">(White et al., 2022)</w:t>
      </w:r>
      <w:r>
        <w:t xml:space="preserve">.</w:t>
      </w:r>
    </w:p>
    <w:p>
      <w:pPr>
        <w:pStyle w:val="BodyText"/>
      </w:pPr>
      <w:r>
        <w:t xml:space="preserve">In other words, metabolism and related concepts aren’t rigid but flexible and adaptable, and this complexity suggests that ecology is undergoing a paradigm shift (Fig.</w:t>
      </w:r>
      <w:r>
        <w:t xml:space="preserve"> </w:t>
      </w:r>
      <w:r>
        <w:t xml:space="preserve">) from a deterministic, Newtonian approach toward a more Darwinian, context-dependent, cybernetic approach</w:t>
      </w:r>
      <w:r>
        <w:t xml:space="preserve"> </w:t>
      </w:r>
      <w:r>
        <w:t xml:space="preserve">(D. S. Glazier, 2022)</w:t>
      </w:r>
      <w:r>
        <w:t xml:space="preserve">.</w:t>
      </w:r>
    </w:p>
    <w:bookmarkEnd w:id="21"/>
    <w:bookmarkStart w:id="22" w:name="X3a9d5732e150c0acfccf06993209bc41b8c5a4c"/>
    <w:p>
      <w:pPr>
        <w:pStyle w:val="Heading2"/>
      </w:pPr>
      <w:r>
        <w:rPr>
          <w:rStyle w:val="SectionNumber"/>
        </w:rPr>
        <w:t xml:space="preserve">1.3</w:t>
      </w:r>
      <w:r>
        <w:tab/>
      </w:r>
      <w:r>
        <w:t xml:space="preserve">Pace of Life Syndrome (POLS) and derived models</w:t>
      </w:r>
    </w:p>
    <w:p>
      <w:pPr>
        <w:pStyle w:val="FirstParagraph"/>
      </w:pPr>
      <w:r>
        <w:t xml:space="preserve">The understanding of life-history evolution goes back to the concept of r-K selection which states that individuals that grow quickly and mature early should correspondingly produce more offspring per unit time</w:t>
      </w:r>
      <w:r>
        <w:t xml:space="preserve"> </w:t>
      </w:r>
      <w:r>
        <w:t xml:space="preserve">(Pianka, 1970)</w:t>
      </w:r>
      <w:r>
        <w:t xml:space="preserve">. However organisms can be seen as a result of the co-evolution also of other types of traits, such as behavioural and morphological traits</w:t>
      </w:r>
      <w:r>
        <w:t xml:space="preserve"> </w:t>
      </w:r>
      <w:r>
        <w:t xml:space="preserve">(Gopal et al., 2023)</w:t>
      </w:r>
      <w:r>
        <w:t xml:space="preserve">. To link trait covariation between physiology, life history and behaviour, the Pace of Life Syndrome (POLS) has emerged as an important framework to address this innovative perspective</w:t>
      </w:r>
      <w:r>
        <w:t xml:space="preserve"> </w:t>
      </w:r>
      <w:r>
        <w:t xml:space="preserve">(Montiglio et al., 2018)</w:t>
      </w:r>
      <w:r>
        <w:t xml:space="preserve">. This conceptual framework puts individuality and personality, defined as the individual behavioral differences that are consistent over time and/or across situations</w:t>
      </w:r>
      <w:r>
        <w:t xml:space="preserve"> </w:t>
      </w:r>
      <w:r>
        <w:t xml:space="preserve">(Réale et al., 2007)</w:t>
      </w:r>
      <w:r>
        <w:t xml:space="preserve">, among the key traits influencing the organism’s response to their environment. According to POLS, individuals can be arranged along a slow-fast axis, with</w:t>
      </w:r>
      <w:r>
        <w:t xml:space="preserve"> </w:t>
      </w:r>
      <w:r>
        <w:t xml:space="preserve">“</w:t>
      </w:r>
      <w:r>
        <w:t xml:space="preserve">slow</w:t>
      </w:r>
      <w:r>
        <w:t xml:space="preserve">”</w:t>
      </w:r>
      <w:r>
        <w:t xml:space="preserve"> </w:t>
      </w:r>
      <w:r>
        <w:t xml:space="preserve">individuals having slower growth and metabolic rates and lower reproductive output than</w:t>
      </w:r>
      <w:r>
        <w:t xml:space="preserve"> </w:t>
      </w:r>
      <w:r>
        <w:t xml:space="preserve">“</w:t>
      </w:r>
      <w:r>
        <w:t xml:space="preserve">fast</w:t>
      </w:r>
      <w:r>
        <w:t xml:space="preserve">”</w:t>
      </w:r>
      <w:r>
        <w:t xml:space="preserve"> </w:t>
      </w:r>
      <w:r>
        <w:t xml:space="preserve">ones</w:t>
      </w:r>
      <w:r>
        <w:t xml:space="preserve"> </w:t>
      </w:r>
      <w:r>
        <w:t xml:space="preserve">(Ricklefs &amp; Wikelski, 2002)</w:t>
      </w:r>
      <w:r>
        <w:t xml:space="preserve">, similar to the concept of r-K selection. Later, also a behavioural shy-bold axis was added</w:t>
      </w:r>
      <w:r>
        <w:t xml:space="preserve"> </w:t>
      </w:r>
      <w:r>
        <w:t xml:space="preserve">(Careau et al., 2008; Réale et al., 2010)</w:t>
      </w:r>
      <w:r>
        <w:t xml:space="preserve">, where</w:t>
      </w:r>
      <w:r>
        <w:t xml:space="preserve"> </w:t>
      </w:r>
      <w:r>
        <w:t xml:space="preserve">“</w:t>
      </w:r>
      <w:r>
        <w:t xml:space="preserve">shy</w:t>
      </w:r>
      <w:r>
        <w:t xml:space="preserve">”</w:t>
      </w:r>
      <w:r>
        <w:t xml:space="preserve"> </w:t>
      </w:r>
      <w:r>
        <w:t xml:space="preserve">individuals are less aggressive and exploratory and more social compared to the</w:t>
      </w:r>
      <w:r>
        <w:t xml:space="preserve"> </w:t>
      </w:r>
      <w:r>
        <w:t xml:space="preserve">“</w:t>
      </w:r>
      <w:r>
        <w:t xml:space="preserve">bold</w:t>
      </w:r>
      <w:r>
        <w:t xml:space="preserve">”</w:t>
      </w:r>
      <w:r>
        <w:t xml:space="preserve"> </w:t>
      </w:r>
      <w:r>
        <w:t xml:space="preserve">ones. Personality traits, such as boldness or shyness, introduce consistent behavioral differences interacting with metabolic and life-history traits, driving unique adaptations within the POLS framework.</w:t>
      </w:r>
    </w:p>
    <w:p>
      <w:pPr>
        <w:pStyle w:val="BodyText"/>
      </w:pPr>
      <w:r>
        <w:t xml:space="preserve">Animal physiology, life history, and behaviour are known to be thermally sensitive</w:t>
      </w:r>
      <w:r>
        <w:t xml:space="preserve"> </w:t>
      </w:r>
      <w:r>
        <w:t xml:space="preserve">(Abram et al., 2017; Clarke &amp; Fraser, 2004; Shine, 2005)</w:t>
      </w:r>
      <w:r>
        <w:t xml:space="preserve">, with temperature playing a critical role in shaping these traits. To incorporate the effects of temperature, the Thermal-Behavioral Syndrome (TBS) was proposed</w:t>
      </w:r>
      <w:r>
        <w:t xml:space="preserve"> </w:t>
      </w:r>
      <w:r>
        <w:t xml:space="preserve">(Goulet, Thompson, &amp; Chapple, 2017)</w:t>
      </w:r>
      <w:r>
        <w:t xml:space="preserve">. TBS introduces a cold-hot axis, where</w:t>
      </w:r>
      <w:r>
        <w:t xml:space="preserve"> </w:t>
      </w:r>
      <w:r>
        <w:t xml:space="preserve">“</w:t>
      </w:r>
      <w:r>
        <w:t xml:space="preserve">cold</w:t>
      </w:r>
      <w:r>
        <w:t xml:space="preserve">”</w:t>
      </w:r>
      <w:r>
        <w:t xml:space="preserve"> </w:t>
      </w:r>
      <w:r>
        <w:t xml:space="preserve">individuals perform best at lower body temperatures, while</w:t>
      </w:r>
      <w:r>
        <w:t xml:space="preserve"> </w:t>
      </w:r>
      <w:r>
        <w:t xml:space="preserve">“</w:t>
      </w:r>
      <w:r>
        <w:t xml:space="preserve">hot</w:t>
      </w:r>
      <w:r>
        <w:t xml:space="preserve">”</w:t>
      </w:r>
      <w:r>
        <w:t xml:space="preserve"> </w:t>
      </w:r>
      <w:r>
        <w:t xml:space="preserve">individuals excel at higher temperatures. Furthermore, TBS was integrated with the POLS hypothesis to define an</w:t>
      </w:r>
      <w:r>
        <w:t xml:space="preserve"> </w:t>
      </w:r>
      <w:r>
        <w:t xml:space="preserve">“</w:t>
      </w:r>
      <w:r>
        <w:t xml:space="preserve">extended POLS</w:t>
      </w:r>
      <w:r>
        <w:t xml:space="preserve">”</w:t>
      </w:r>
      <w:r>
        <w:t xml:space="preserve">, which provides a complementary framework that accounts for both thermal sensitivity and traits covariation</w:t>
      </w:r>
      <w:r>
        <w:t xml:space="preserve"> </w:t>
      </w:r>
      <w:r>
        <w:t xml:space="preserve">(Goulet, Thompson, Michelangeli, et al., 2017)</w:t>
      </w:r>
      <w:r>
        <w:t xml:space="preserve">. Slow-fast, shy-bold and cold-hot axes covary with each other, with metabolism as the underlying mechanism that links all these traits (Fig.</w:t>
      </w:r>
      <w:r>
        <w:t xml:space="preserve"> </w:t>
      </w:r>
      <w:r>
        <w:t xml:space="preserve">), but some gaps need further investigation to have a true comprehensive POLS hypothesis</w:t>
      </w:r>
      <w:r>
        <w:t xml:space="preserve"> </w:t>
      </w:r>
      <w:r>
        <w:t xml:space="preserve">(Gopal et al., 2023)</w:t>
      </w:r>
      <w:r>
        <w:t xml:space="preserve">.</w:t>
      </w:r>
    </w:p>
    <w:bookmarkEnd w:id="22"/>
    <w:bookmarkStart w:id="23" w:name="X77aee6024e5875614eab3a7a3a2c133ec9948b7"/>
    <w:p>
      <w:pPr>
        <w:pStyle w:val="Heading2"/>
      </w:pPr>
      <w:r>
        <w:rPr>
          <w:rStyle w:val="SectionNumber"/>
        </w:rPr>
        <w:t xml:space="preserve">1.4</w:t>
      </w:r>
      <w:r>
        <w:tab/>
      </w:r>
      <w:r>
        <w:t xml:space="preserve">The role of information: organisms as cybernetic systems</w:t>
      </w:r>
    </w:p>
    <w:p>
      <w:pPr>
        <w:pStyle w:val="FirstParagraph"/>
      </w:pPr>
      <w:r>
        <w:t xml:space="preserve">As discussed above, temperature can influence an organism’s behaviour through its influence on the organism’s metabolism, especially in ectotherms since they exclusively rely on behavioural strategies for thermoregulation</w:t>
      </w:r>
      <w:r>
        <w:t xml:space="preserve"> </w:t>
      </w:r>
      <w:r>
        <w:t xml:space="preserve">(May, 1979; Woods et al., 2015)</w:t>
      </w:r>
      <w:r>
        <w:t xml:space="preserve">. Temperature’s effect on ectotherms can be analysed through two interactive mechanisms: kinetic and integrated effects (Fig.</w:t>
      </w:r>
      <w:r>
        <w:t xml:space="preserve"> </w:t>
      </w:r>
      <w:r>
        <w:t xml:space="preserve">). Kinetic effects reflect the bottom-up action of temperature on metabolism and physiology since the temperature rise corresponds to faster biochemical reactions across cells, enabling quicker responses to behaviour such as better foraging efficiency and increased locomotion. Thus, integrated effects results from top-down thermoreception, whereby organisms process thermal information directly and use it to make behavioural choices that maximize fitness</w:t>
      </w:r>
      <w:r>
        <w:t xml:space="preserve"> </w:t>
      </w:r>
      <w:r>
        <w:t xml:space="preserve">(Abram et al., 2017)</w:t>
      </w:r>
      <w:r>
        <w:t xml:space="preserve">.</w:t>
      </w:r>
    </w:p>
    <w:p>
      <w:pPr>
        <w:pStyle w:val="BodyText"/>
      </w:pPr>
      <w:r>
        <w:t xml:space="preserve">This perspective is consistent with cybernetic principles: organisms are self-regulating via feedback loops that balance internal state with external conditions, and they can be considered as cybernetic systems that are constantly sensing, interpreting, and acting upon environmental cues. That is to say, organisms do not just respond to their environment, they perceive environmental information that causes complex behaviours and strategies for survival. This view outlines that organisms are causes and consequences in ecological systems, as their constant development is influenced by and shapes environmental states through information-driven behaviour</w:t>
      </w:r>
      <w:r>
        <w:t xml:space="preserve"> </w:t>
      </w:r>
      <w:r>
        <w:t xml:space="preserve">(O’Connor et al., 2019)</w:t>
      </w:r>
      <w:r>
        <w:t xml:space="preserve">.</w:t>
      </w:r>
    </w:p>
    <w:bookmarkEnd w:id="23"/>
    <w:bookmarkStart w:id="24" w:name="X3540de9801e1e24800faf7486047588d02e0241"/>
    <w:p>
      <w:pPr>
        <w:pStyle w:val="Heading2"/>
      </w:pPr>
      <w:r>
        <w:rPr>
          <w:rStyle w:val="SectionNumber"/>
        </w:rPr>
        <w:t xml:space="preserve">1.5</w:t>
      </w:r>
      <w:r>
        <w:tab/>
      </w:r>
      <w:r>
        <w:t xml:space="preserve">Linking resource use and foraging strategies</w:t>
      </w:r>
    </w:p>
    <w:p>
      <w:pPr>
        <w:pStyle w:val="FirstParagraph"/>
      </w:pPr>
      <w:r>
        <w:t xml:space="preserve">Energetic and material costs of information processing need to be balanced by resource acquisition</w:t>
      </w:r>
      <w:r>
        <w:t xml:space="preserve"> </w:t>
      </w:r>
      <w:r>
        <w:t xml:space="preserve">(Danchin et al., 2004; Gil et al., 2018)</w:t>
      </w:r>
      <w:r>
        <w:t xml:space="preserve">. Individual energy requirements can affect space-use patterns, patch departure behaviour and ingestion rate. Larger foragers have higher energetic requirements and therefore higher ingestion rates. At the same time, the ingestion rate decreases with resource density. Consequently, larger foragers sense the resource as scarce sooner than smaller foragers, and they leave the patch earlier</w:t>
      </w:r>
      <w:r>
        <w:t xml:space="preserve"> </w:t>
      </w:r>
      <w:r>
        <w:t xml:space="preserve">(Basset, 1995)</w:t>
      </w:r>
      <w:r>
        <w:t xml:space="preserve">, resulting in a smaller Giving Up Time (GUT) - the moment when a forager decides to leave a resource patch. Furthermore, when the forager is faced with heterogeneous patches with different resource abundance, it chooses the patch with the highest resource density regardless of the organism’s size. Since larger organisms have a lower GUT, it finds itself having to return to the patch with fewer resources to fulfil their high-energy requirements</w:t>
      </w:r>
      <w:r>
        <w:t xml:space="preserve"> </w:t>
      </w:r>
      <w:r>
        <w:t xml:space="preserve">(Cozzoli et al., 2018)</w:t>
      </w:r>
      <w:r>
        <w:t xml:space="preserve">. This behaviour seems to be affected by temperature, because of its tight relationship with metabolism</w:t>
      </w:r>
      <w:r>
        <w:t xml:space="preserve"> </w:t>
      </w:r>
      <w:r>
        <w:t xml:space="preserve">(Shokri et al., 2024)</w:t>
      </w:r>
      <w:r>
        <w:t xml:space="preserve">. This pattern appears like a cybernetic feedback loop described before, where the animal actively shapes its foraging behaviour depending on the resource availability information given by the environment itself, thus changing the environmental conditions with its actions (</w:t>
      </w:r>
      <w:r>
        <w:rPr>
          <w:iCs/>
          <w:i/>
        </w:rPr>
        <w:t xml:space="preserve">i.e.</w:t>
      </w:r>
      <w:r>
        <w:t xml:space="preserve"> </w:t>
      </w:r>
      <w:r>
        <w:t xml:space="preserve">depleting the resources).</w:t>
      </w:r>
    </w:p>
    <w:p>
      <w:pPr>
        <w:pStyle w:val="BodyText"/>
      </w:pPr>
      <w:r>
        <w:t xml:space="preserve">Ingestion rate, being an energy-intake rate, acts as a bridge between classic behavioural ecology and ecophysiology, and can be used as a predictor of the effects of climate change on foragers’ feeding pressure and energy flows, and their cascade effect on the entire food web and the ecosystems future. However, it can be hard to measure especially in highly mobile organisms, such as fishes, where they need to be observed for a long time and later sacrificed for gut content analysis. In cases like this, bite rates can be used as an empirical proxy for its simplicity and because of its scaling properties to body mass and temperature</w:t>
      </w:r>
      <w:r>
        <w:t xml:space="preserve"> </w:t>
      </w:r>
      <w:r>
        <w:t xml:space="preserve">(Longo et al., 2019; Nunes et al., 2021)</w:t>
      </w:r>
      <w:r>
        <w:t xml:space="preserve">.</w:t>
      </w:r>
    </w:p>
    <w:bookmarkEnd w:id="24"/>
    <w:bookmarkStart w:id="25" w:name="research-aim-and-relevance"/>
    <w:p>
      <w:pPr>
        <w:pStyle w:val="Heading2"/>
      </w:pPr>
      <w:r>
        <w:rPr>
          <w:rStyle w:val="SectionNumber"/>
        </w:rPr>
        <w:t xml:space="preserve">1.6</w:t>
      </w:r>
      <w:r>
        <w:tab/>
      </w:r>
      <w:r>
        <w:t xml:space="preserve">Research aim and relevance</w:t>
      </w:r>
    </w:p>
    <w:p>
      <w:pPr>
        <w:pStyle w:val="FirstParagraph"/>
      </w:pPr>
      <w:r>
        <w:t xml:space="preserve">This thesis aims to investigate the impact of temperature on patch selection and ingestion rate using bite rates as a measurable proxy. To do this, bites were counted from observation of pre-recorded videos of a foraging behaviour assay conducted in highly replicable and controlled mesocosm conditions. Black mollies</w:t>
      </w:r>
      <w:r>
        <w:t xml:space="preserve"> </w:t>
      </w:r>
      <w:r>
        <w:rPr>
          <w:iCs/>
          <w:i/>
        </w:rPr>
        <w:t xml:space="preserve">Poecilia sphenops</w:t>
      </w:r>
      <w:r>
        <w:t xml:space="preserve">, a tropical freshwater fish, were used as a model species since they have been used in many other eco-physiological research. Moreover, black mollies are easy to rear and active even in a new environment, where they do not show freezing behaviour, making them suitable for behaviour assay</w:t>
      </w:r>
      <w:r>
        <w:t xml:space="preserve"> </w:t>
      </w:r>
      <w:r>
        <w:t xml:space="preserve">(Boulamail et al., 2025)</w:t>
      </w:r>
      <w:r>
        <w:t xml:space="preserve">. Sex was considered as an individual determinant since it has been proved that fishes and other aquatic animals show significant differences in foraging behaviour between sex</w:t>
      </w:r>
      <w:r>
        <w:t xml:space="preserve"> </w:t>
      </w:r>
      <w:r>
        <w:t xml:space="preserve">(Cummings &amp; Mollaghan, 2006; Matich et al., 2011)</w:t>
      </w:r>
      <w:r>
        <w:t xml:space="preserve"> </w:t>
      </w:r>
      <w:r>
        <w:t xml:space="preserve">which can have an effect also on their metabolic response</w:t>
      </w:r>
      <w:r>
        <w:t xml:space="preserve"> </w:t>
      </w:r>
      <w:r>
        <w:t xml:space="preserve">(Ballance et al., 2006)</w:t>
      </w:r>
      <w:r>
        <w:t xml:space="preserve">. Doing so, this research seeks to expand our understanding of how space/resource use and foraging decisions may be shaped by thermal fluctuations, providing a more comprehensive view of foraging behaviour in the face of climate change.</w:t>
      </w:r>
    </w:p>
    <w:p>
      <w:r>
        <w:br w:type="page"/>
      </w:r>
    </w:p>
    <w:bookmarkEnd w:id="25"/>
    <w:bookmarkEnd w:id="26"/>
    <w:bookmarkStart w:id="34" w:name="materials-and-methods"/>
    <w:p>
      <w:pPr>
        <w:pStyle w:val="Heading1"/>
      </w:pPr>
      <w:r>
        <w:rPr>
          <w:rStyle w:val="SectionNumber"/>
        </w:rPr>
        <w:t xml:space="preserve">2</w:t>
      </w:r>
      <w:r>
        <w:tab/>
      </w:r>
      <w:r>
        <w:t xml:space="preserve">Materials and methods</w:t>
      </w:r>
    </w:p>
    <w:bookmarkStart w:id="30" w:name="Xddee30a873a17b94f4619e1f5e80f3959202db1"/>
    <w:p>
      <w:pPr>
        <w:pStyle w:val="Heading2"/>
      </w:pPr>
      <w:r>
        <w:rPr>
          <w:rStyle w:val="SectionNumber"/>
        </w:rPr>
        <w:t xml:space="preserve">2.1</w:t>
      </w:r>
      <w:r>
        <w:tab/>
      </w:r>
      <w:r>
        <w:t xml:space="preserve">Data collection protocol by Boulamail</w:t>
      </w:r>
      <w:r>
        <w:t xml:space="preserve"> </w:t>
      </w:r>
      <w:r>
        <w:rPr>
          <w:iCs/>
          <w:i/>
        </w:rPr>
        <w:t xml:space="preserve">et al.</w:t>
      </w:r>
      <w:r>
        <w:t xml:space="preserve"> </w:t>
      </w:r>
      <w:r>
        <w:t xml:space="preserve">(2025)</w:t>
      </w:r>
    </w:p>
    <w:bookmarkStart w:id="27" w:name="fish-rearing-and-experimental-conditions"/>
    <w:p>
      <w:pPr>
        <w:pStyle w:val="Heading3"/>
      </w:pPr>
      <w:r>
        <w:rPr>
          <w:rStyle w:val="SectionNumber"/>
        </w:rPr>
        <w:t xml:space="preserve">2.1.1</w:t>
      </w:r>
      <w:r>
        <w:tab/>
      </w:r>
      <w:r>
        <w:t xml:space="preserve">Fish rearing and experimental conditions</w:t>
      </w:r>
      <w:r>
        <w:t xml:space="preserve"> </w:t>
      </w:r>
    </w:p>
    <w:p>
      <w:pPr>
        <w:pStyle w:val="FirstParagraph"/>
      </w:pPr>
      <w:r>
        <w:t xml:space="preserve">In</w:t>
      </w:r>
      <w:r>
        <w:t xml:space="preserve"> </w:t>
      </w:r>
      <w:r>
        <w:t xml:space="preserve">Boulamail et al. (2025)</w:t>
      </w:r>
      <w:r>
        <w:t xml:space="preserve">, thirty specimens of</w:t>
      </w:r>
      <w:r>
        <w:t xml:space="preserve"> </w:t>
      </w:r>
      <w:r>
        <w:rPr>
          <w:iCs/>
          <w:i/>
        </w:rPr>
        <w:t xml:space="preserve">Poecilia sphenops</w:t>
      </w:r>
      <w:r>
        <w:t xml:space="preserve"> </w:t>
      </w:r>
      <w:r>
        <w:t xml:space="preserve">(Black molly) were reared in the laboratories of the School of Biodiversity, One Health and Veterinary Medicine, University of Glasgow, including individuals of different sizes, life stages and sexes (16 males and 14 females). Fish were acclimated and maintained under controlled conditions (25</w:t>
      </w:r>
      <w:r>
        <w:t xml:space="preserve">C, pH 7.3, dissolved oxygen at 7.8</w:t>
      </w:r>
      <w:r>
        <w:t xml:space="preserve"> </w:t>
      </w:r>
      <m:oMath>
        <m:r>
          <m:rPr>
            <m:sty m:val="p"/>
          </m:rPr>
          <m:t>±</m:t>
        </m:r>
      </m:oMath>
      <w:r>
        <w:t xml:space="preserve"> </w:t>
      </w:r>
      <w:r>
        <w:t xml:space="preserve">0.4 mg/l, photoperiod of 14h light/10h dark) in two large tanks divided into contiguous sections separated by plastic dividers with a mesh in the center, so that they could see and smell each other, to allow individual recognition without tags while reducing isolation stress.</w:t>
      </w:r>
    </w:p>
    <w:p>
      <w:pPr>
        <w:pStyle w:val="BodyText"/>
      </w:pPr>
      <w:r>
        <w:t xml:space="preserve">Individuals were divided into two groups: the</w:t>
      </w:r>
      <w:r>
        <w:t xml:space="preserve"> </w:t>
      </w:r>
      <w:r>
        <w:t xml:space="preserve">“</w:t>
      </w:r>
      <w:r>
        <w:t xml:space="preserve">28-25</w:t>
      </w:r>
      <w:r>
        <w:t xml:space="preserve">”</w:t>
      </w:r>
      <w:r>
        <w:t xml:space="preserve"> </w:t>
      </w:r>
      <w:r>
        <w:t xml:space="preserve">group (8 males, 6 females), exposed first to 28</w:t>
      </w:r>
      <w:r>
        <w:t xml:space="preserve">C and then 25</w:t>
      </w:r>
      <w:r>
        <w:t xml:space="preserve">C for three weeks each, and the</w:t>
      </w:r>
      <w:r>
        <w:t xml:space="preserve"> </w:t>
      </w:r>
      <w:r>
        <w:t xml:space="preserve">“</w:t>
      </w:r>
      <w:r>
        <w:t xml:space="preserve">25-28</w:t>
      </w:r>
      <w:r>
        <w:t xml:space="preserve">”</w:t>
      </w:r>
      <w:r>
        <w:t xml:space="preserve"> </w:t>
      </w:r>
      <w:r>
        <w:t xml:space="preserve">group (8 males, 6 females), exposed to 25</w:t>
      </w:r>
      <w:r>
        <w:t xml:space="preserve">C and then 28</w:t>
      </w:r>
      <w:r>
        <w:t xml:space="preserve">C (Fig.</w:t>
      </w:r>
      <w:r>
        <w:t xml:space="preserve"> </w:t>
      </w:r>
      <w:r>
        <w:t xml:space="preserve">). Once the individuals were divided into groups, various metrics were measured weekly, specifically foraging behaviour and standard metabolic rate (SMR), along with weight and length.</w:t>
      </w:r>
    </w:p>
    <w:bookmarkEnd w:id="27"/>
    <w:bookmarkStart w:id="28" w:name="foraging-behaviour-assay"/>
    <w:p>
      <w:pPr>
        <w:pStyle w:val="Heading3"/>
      </w:pPr>
      <w:r>
        <w:rPr>
          <w:rStyle w:val="SectionNumber"/>
        </w:rPr>
        <w:t xml:space="preserve">2.1.2</w:t>
      </w:r>
      <w:r>
        <w:tab/>
      </w:r>
      <w:r>
        <w:t xml:space="preserve">Foraging behaviour assay</w:t>
      </w:r>
      <w:r>
        <w:t xml:space="preserve"> </w:t>
      </w:r>
    </w:p>
    <w:p>
      <w:pPr>
        <w:pStyle w:val="FirstParagraph"/>
      </w:pPr>
      <w:r>
        <w:t xml:space="preserve">Before each foraging behaviour assay, fish were fasted for 24 hours; then, after the assay, they were again fasted for another 24 hours in preparation for the respirometry assay. The two groups followed the same protocol with one week of recovery between each experimental block. Six sets of measurements were collected for each individual, for a total of 168 individual measurements.</w:t>
      </w:r>
    </w:p>
    <w:p>
      <w:pPr>
        <w:pStyle w:val="BodyText"/>
      </w:pPr>
      <w:r>
        <w:t xml:space="preserve">Fish foraging behaviour was observed using an experimental maze consisting of a circular plexiglass arena with a diameter of 40 cm, divided into four equal patches by 0.4 mm thick PVC separators. The fishes were able to move freely through all of the maze sections and use both their sense of sight and smell to detect food because the patches were connected by circular holes that were 3.5 cm in diameter. While the other patches were left empty, two patches had food in different quantities (0.30g and 0.15g pellets, respectively, representing high (H) and low (L) amounts of resource). The food was placed in a fine net of 0.5 mm mesh size and mixed with small stones to keep it on the bottom, reducing possible disturbance during video recording from the food’s floating (Fig.</w:t>
      </w:r>
      <w:r>
        <w:t xml:space="preserve"> </w:t>
      </w:r>
      <w:r>
        <w:t xml:space="preserve">).</w:t>
      </w:r>
    </w:p>
    <w:p>
      <w:pPr>
        <w:pStyle w:val="BodyText"/>
      </w:pPr>
      <w:r>
        <w:t xml:space="preserve">The maze was filled with 18.85 l of fresh water before each trial, which was heated to the test group’s preferred temperature of 25°C or 28°C and maintained at that level by heaters and room temperature control. Resources for food and water had been restored before each trial. As previously mentioned, the fish were fasted for 24 hours before the foraging behaviour tests. Each test began with a fish being placed inside a transparent cylinder in an empty patch of the maze to acclimate for 2 minutes. The cylinder was then taken out, giving the fish 20 minutes to move around the maze. The trials were recorded using a Logitech HD 1080p camera that was positioned at a fixed distance above the arena. The room was kept dark except for the arena, which was lit sideways with a Lepro Desk Lamp 3000K-6500k to prevent reflections on the water. The videos were then analyzed using Ethovision XT15 (Noldus) software, which tracked the fish’s movements and time spent in foraging areas at an interval of 1 frame per second. Both groups’ behaviour tests were conducted simultaneously, following a protocol intended to reduce animal stress.</w:t>
      </w:r>
    </w:p>
    <w:bookmarkEnd w:id="28"/>
    <w:bookmarkStart w:id="29" w:name="Xb3ee44489c55c227403048fcfeccb25752fb18d"/>
    <w:p>
      <w:pPr>
        <w:pStyle w:val="Heading3"/>
      </w:pPr>
      <w:r>
        <w:rPr>
          <w:rStyle w:val="SectionNumber"/>
        </w:rPr>
        <w:t xml:space="preserve">2.1.3</w:t>
      </w:r>
      <w:r>
        <w:tab/>
      </w:r>
      <w:r>
        <w:t xml:space="preserve">Standard Metabolic Rate measurement via intermittent-flow respirometry</w:t>
      </w:r>
    </w:p>
    <w:p>
      <w:pPr>
        <w:pStyle w:val="FirstParagraph"/>
      </w:pPr>
      <w:r>
        <w:t xml:space="preserve">Fish standard metabolic rate (SMR) was estimated by measuring individual oxygen uptake, using intermittent-flow respirometry</w:t>
      </w:r>
      <w:r>
        <w:t xml:space="preserve"> </w:t>
      </w:r>
      <w:r>
        <w:t xml:space="preserve">(Svendsen et al., 2016)</w:t>
      </w:r>
      <w:r>
        <w:t xml:space="preserve">, 24 hours after the foraging behaviour assay. The intermittent-flow respirometry is characterized by having chambers connected to oxygen sensors that were flushed with clean oxygenated water every three minutes, followed by a closed phase in which dissolved oxygen was measured every two seconds. Oxygen uptake rate was used as a proxy of fish whole-body aerobic metabolism</w:t>
      </w:r>
      <w:r>
        <w:t xml:space="preserve"> </w:t>
      </w:r>
      <w:r>
        <w:t xml:space="preserve">(Chrétien et al., 2021; Killen et al., 2021)</w:t>
      </w:r>
      <w:r>
        <w:t xml:space="preserve">. To ensure measurements in the non-digestive phase, fish were fasted for 24 hours before and during the measurements. The respirometry system included 16 cylindrical glass chambers (11 small with 43.56 ml capacity and 5 large with 72.03 ml capacity) immersed in a water tank. As controls, two empty chambers were used to monitor microbial oxygen consumption overnight (blanks) and the oxygen depletion in each chamber was measured before (pre-blank) and after (post-blank) the trial, with empty chambers, to take into consideration the microbial oxygen consumption (background) within each chamber, and to minimize background microbial respiration, the system water was treated with UV for all duration of the experiment. Measurements lasted an average of 21 hours and were analysed with the FishResp R package</w:t>
      </w:r>
      <w:r>
        <w:t xml:space="preserve"> </w:t>
      </w:r>
      <w:r>
        <w:t xml:space="preserve">(Morozov et al., 2019)</w:t>
      </w:r>
      <w:r>
        <w:t xml:space="preserve">, calculating the oxygen uptake rate for each fish by subtracting the chamber volume occupied by the fish and background microbial respiration. The data collected allowed the SMR of each individual to be estimated.</w:t>
      </w:r>
    </w:p>
    <w:bookmarkEnd w:id="29"/>
    <w:bookmarkEnd w:id="30"/>
    <w:bookmarkStart w:id="31" w:name="Xb5f92367b3b728c7fd78849dd717aa120773805"/>
    <w:p>
      <w:pPr>
        <w:pStyle w:val="Heading2"/>
      </w:pPr>
      <w:r>
        <w:rPr>
          <w:rStyle w:val="SectionNumber"/>
        </w:rPr>
        <w:t xml:space="preserve">2.2</w:t>
      </w:r>
      <w:r>
        <w:tab/>
      </w:r>
      <w:r>
        <w:t xml:space="preserve">Bites extraction methodology from video analysis</w:t>
      </w:r>
    </w:p>
    <w:p>
      <w:pPr>
        <w:pStyle w:val="TableCaption"/>
      </w:pPr>
      <w:r>
        <w:t xml:space="preserve">Structure of the spreadsheet used to store data. After the data entry was completed, the dataset was exported as .csv (semicolon; period) with UTF-8 character encoding.</w:t>
      </w:r>
      <w:r>
        <w:t xml:space="preserve"> </w:t>
      </w:r>
    </w:p>
    <w:tbl>
      <w:tblPr>
        <w:tblStyle w:val="Table"/>
        <w:tblW w:type="pct" w:w="5000"/>
        <w:tblLook w:firstRow="1" w:lastRow="0" w:firstColumn="0" w:lastColumn="0" w:noHBand="0" w:noVBand="0" w:val="0020"/>
        <w:jc w:val="start"/>
        <w:tblCaption w:val="Structure of the spreadsheet used to store data. After the data entry was completed, the dataset was exported as .csv (semicolon; period) with UTF-8 character encoding. "/>
      </w:tblPr>
      <w:tblGrid>
        <w:gridCol w:w="2495"/>
        <w:gridCol w:w="2712"/>
        <w:gridCol w:w="2712"/>
      </w:tblGrid>
      <w:tr>
        <w:trPr>
          <w:tblHeader w:val="true"/>
        </w:trPr>
        <w:tc>
          <w:tcPr/>
          <w:p>
            <w:pPr>
              <w:pStyle w:val="Compact"/>
              <w:jc w:val="left"/>
            </w:pPr>
            <w:r>
              <w:t xml:space="preserve">Column</w:t>
            </w:r>
          </w:p>
        </w:tc>
        <w:tc>
          <w:tcPr/>
          <w:p>
            <w:pPr>
              <w:pStyle w:val="Compact"/>
              <w:jc w:val="left"/>
            </w:pPr>
            <w:r>
              <w:t xml:space="preserve">Description</w:t>
            </w:r>
          </w:p>
        </w:tc>
        <w:tc>
          <w:tcPr/>
          <w:p>
            <w:pPr>
              <w:pStyle w:val="Compact"/>
              <w:jc w:val="left"/>
            </w:pPr>
            <w:r>
              <w:t xml:space="preserve">Accepted format</w:t>
            </w:r>
          </w:p>
        </w:tc>
      </w:tr>
      <w:tr>
        <w:tc>
          <w:tcPr/>
          <w:p>
            <w:pPr>
              <w:pStyle w:val="Compact"/>
              <w:jc w:val="left"/>
            </w:pPr>
            <w:r>
              <w:t xml:space="preserve">run</w:t>
            </w:r>
          </w:p>
        </w:tc>
        <w:tc>
          <w:tcPr/>
          <w:p>
            <w:pPr>
              <w:pStyle w:val="Compact"/>
              <w:jc w:val="left"/>
            </w:pPr>
            <w:r>
              <w:t xml:space="preserve">The name of the video analyzed</w:t>
            </w:r>
          </w:p>
        </w:tc>
        <w:tc>
          <w:tcPr/>
          <w:p>
            <w:pPr>
              <w:pStyle w:val="Compact"/>
              <w:jc w:val="left"/>
            </w:pPr>
            <w:r>
              <w:t xml:space="preserve">Fish ID + n° of the replica</w:t>
            </w:r>
          </w:p>
        </w:tc>
      </w:tr>
      <w:tr>
        <w:tc>
          <w:tcPr/>
          <w:p>
            <w:pPr>
              <w:pStyle w:val="Compact"/>
              <w:jc w:val="left"/>
            </w:pPr>
            <w:r>
              <w:t xml:space="preserve">patch</w:t>
            </w:r>
          </w:p>
        </w:tc>
        <w:tc>
          <w:tcPr/>
          <w:p>
            <w:pPr>
              <w:pStyle w:val="Compact"/>
              <w:jc w:val="left"/>
            </w:pPr>
            <w:r>
              <w:t xml:space="preserve">The name of the patch in which the fish entered</w:t>
            </w:r>
          </w:p>
        </w:tc>
        <w:tc>
          <w:tcPr/>
          <w:p>
            <w:pPr>
              <w:pStyle w:val="Compact"/>
              <w:jc w:val="left"/>
            </w:pPr>
            <w:r>
              <w:t xml:space="preserve">“</w:t>
            </w:r>
            <w:r>
              <w:t xml:space="preserve">H</w:t>
            </w:r>
            <w:r>
              <w:t xml:space="preserve">”</w:t>
            </w:r>
            <w:r>
              <w:t xml:space="preserve"> </w:t>
            </w:r>
            <w:r>
              <w:t xml:space="preserve">for high resource patch,</w:t>
            </w:r>
            <w:r>
              <w:t xml:space="preserve"> </w:t>
            </w:r>
            <w:r>
              <w:t xml:space="preserve">“</w:t>
            </w:r>
            <w:r>
              <w:t xml:space="preserve">L</w:t>
            </w:r>
            <w:r>
              <w:t xml:space="preserve">”</w:t>
            </w:r>
            <w:r>
              <w:t xml:space="preserve"> </w:t>
            </w:r>
            <w:r>
              <w:t xml:space="preserve">for low resource patch</w:t>
            </w:r>
          </w:p>
        </w:tc>
      </w:tr>
      <w:tr>
        <w:tc>
          <w:tcPr/>
          <w:p>
            <w:pPr>
              <w:pStyle w:val="Compact"/>
              <w:jc w:val="left"/>
            </w:pPr>
            <w:r>
              <w:t xml:space="preserve">entrance</w:t>
            </w:r>
          </w:p>
        </w:tc>
        <w:tc>
          <w:tcPr/>
          <w:p>
            <w:pPr>
              <w:pStyle w:val="Compact"/>
              <w:jc w:val="left"/>
            </w:pPr>
            <w:r>
              <w:t xml:space="preserve">The time at which the fish entered the patch</w:t>
            </w:r>
          </w:p>
        </w:tc>
        <w:tc>
          <w:tcPr/>
          <w:p>
            <w:pPr>
              <w:pStyle w:val="Compact"/>
              <w:jc w:val="left"/>
            </w:pPr>
            <w:r>
              <w:t xml:space="preserve">mm:ss</w:t>
            </w:r>
          </w:p>
        </w:tc>
      </w:tr>
      <w:tr>
        <w:tc>
          <w:tcPr/>
          <w:p>
            <w:pPr>
              <w:pStyle w:val="Compact"/>
              <w:jc w:val="left"/>
            </w:pPr>
            <w:r>
              <w:t xml:space="preserve">exit</w:t>
            </w:r>
          </w:p>
        </w:tc>
        <w:tc>
          <w:tcPr/>
          <w:p>
            <w:pPr>
              <w:pStyle w:val="Compact"/>
              <w:jc w:val="left"/>
            </w:pPr>
            <w:r>
              <w:t xml:space="preserve">The time at which the fish left the patch</w:t>
            </w:r>
          </w:p>
        </w:tc>
        <w:tc>
          <w:tcPr/>
          <w:p>
            <w:pPr>
              <w:pStyle w:val="Compact"/>
              <w:jc w:val="left"/>
            </w:pPr>
            <w:r>
              <w:t xml:space="preserve">mm:ss</w:t>
            </w:r>
          </w:p>
        </w:tc>
      </w:tr>
      <w:tr>
        <w:tc>
          <w:tcPr/>
          <w:p>
            <w:pPr>
              <w:pStyle w:val="Compact"/>
              <w:jc w:val="left"/>
            </w:pPr>
            <w:r>
              <w:t xml:space="preserve">start</w:t>
            </w:r>
          </w:p>
        </w:tc>
        <w:tc>
          <w:tcPr/>
          <w:p>
            <w:pPr>
              <w:pStyle w:val="Compact"/>
              <w:jc w:val="left"/>
            </w:pPr>
            <w:r>
              <w:t xml:space="preserve">The time at which the fish started eating after entering the patch (start of the feeding episode)</w:t>
            </w:r>
          </w:p>
        </w:tc>
        <w:tc>
          <w:tcPr/>
          <w:p>
            <w:pPr>
              <w:pStyle w:val="Compact"/>
              <w:jc w:val="left"/>
            </w:pPr>
            <w:r>
              <w:t xml:space="preserve">mm:ss</w:t>
            </w:r>
          </w:p>
        </w:tc>
      </w:tr>
      <w:tr>
        <w:tc>
          <w:tcPr/>
          <w:p>
            <w:pPr>
              <w:pStyle w:val="Compact"/>
              <w:jc w:val="left"/>
            </w:pPr>
            <w:r>
              <w:t xml:space="preserve">end</w:t>
            </w:r>
          </w:p>
        </w:tc>
        <w:tc>
          <w:tcPr/>
          <w:p>
            <w:pPr>
              <w:pStyle w:val="Compact"/>
              <w:jc w:val="left"/>
            </w:pPr>
            <w:r>
              <w:t xml:space="preserve">The time at which the fish stopped eating (end of the feeding episode)</w:t>
            </w:r>
          </w:p>
        </w:tc>
        <w:tc>
          <w:tcPr/>
          <w:p>
            <w:pPr>
              <w:pStyle w:val="Compact"/>
              <w:jc w:val="left"/>
            </w:pPr>
            <w:r>
              <w:t xml:space="preserve">mm:ss</w:t>
            </w:r>
          </w:p>
        </w:tc>
      </w:tr>
      <w:tr>
        <w:tc>
          <w:tcPr/>
          <w:p>
            <w:pPr>
              <w:pStyle w:val="Compact"/>
              <w:jc w:val="left"/>
            </w:pPr>
            <w:r>
              <w:t xml:space="preserve">nbites</w:t>
            </w:r>
          </w:p>
        </w:tc>
        <w:tc>
          <w:tcPr/>
          <w:p>
            <w:pPr>
              <w:pStyle w:val="Compact"/>
              <w:jc w:val="left"/>
            </w:pPr>
            <w:r>
              <w:t xml:space="preserve">The number of bites taken by the fish in each feeding episode</w:t>
            </w:r>
          </w:p>
        </w:tc>
        <w:tc>
          <w:tcPr/>
          <w:p>
            <w:pPr>
              <w:pStyle w:val="Compact"/>
              <w:jc w:val="left"/>
            </w:pPr>
            <w:r>
              <w:t xml:space="preserve">Integer</w:t>
            </w:r>
          </w:p>
        </w:tc>
      </w:tr>
    </w:tbl>
    <w:p>
      <w:pPr>
        <w:pStyle w:val="BodyText"/>
      </w:pPr>
      <w:r>
        <w:t xml:space="preserve">For the bite rate, data was gathered from the videos of</w:t>
      </w:r>
      <w:r>
        <w:t xml:space="preserve"> </w:t>
      </w:r>
      <w:r>
        <w:t xml:space="preserve">Boulamail et al. (2025)</w:t>
      </w:r>
      <w:r>
        <w:t xml:space="preserve"> </w:t>
      </w:r>
      <w:r>
        <w:t xml:space="preserve">foraging behaviour assay recorded using the Logitech HD 1080p camera (see para.</w:t>
      </w:r>
      <w:r>
        <w:t xml:space="preserve"> </w:t>
      </w:r>
      <w:r>
        <w:t xml:space="preserve">). Since</w:t>
      </w:r>
      <w:r>
        <w:t xml:space="preserve"> </w:t>
      </w:r>
      <w:r>
        <w:rPr>
          <w:iCs/>
          <w:i/>
        </w:rPr>
        <w:t xml:space="preserve">P. sphenops</w:t>
      </w:r>
      <w:r>
        <w:t xml:space="preserve"> </w:t>
      </w:r>
      <w:r>
        <w:t xml:space="preserve">individuals feed by taking several bites in rapid succession between pauses (also known as the</w:t>
      </w:r>
      <w:r>
        <w:t xml:space="preserve"> </w:t>
      </w:r>
      <w:r>
        <w:t xml:space="preserve">“</w:t>
      </w:r>
      <w:r>
        <w:t xml:space="preserve">foray</w:t>
      </w:r>
      <w:r>
        <w:t xml:space="preserve">”</w:t>
      </w:r>
      <w:r>
        <w:t xml:space="preserve"> </w:t>
      </w:r>
      <w:r>
        <w:t xml:space="preserve">mode), each bite was counted separately rather than counting bursts of rapid bites as a single bite each</w:t>
      </w:r>
      <w:r>
        <w:t xml:space="preserve"> </w:t>
      </w:r>
      <w:r>
        <w:t xml:space="preserve">(Longo et al., 2019; Nunes et al., 2021)</w:t>
      </w:r>
      <w:r>
        <w:t xml:space="preserve">. Every burst of rapid bites was considered a feeding episode. The videos were systematically reviewed, manually counting the number of bites through visual inspection. To do so, VLC software (version 3.0.20 Vetinari) was used as a media player to watch the videos. This data collection from videos also included which patch the fish entered, the time the fish entered the patch, the time it left the patch, the time it started eating and the time it stopped eating. (Table</w:t>
      </w:r>
      <w:r>
        <w:t xml:space="preserve"> </w:t>
      </w:r>
      <w:r>
        <w:t xml:space="preserve">). Data was stored in an Excel spreadsheet (Microsoft Excel for Microsoft 365 MSO version 2410 Build 16.0.18129.20100 x64 bit) and, once the data entry was completed, it was exported as a Comma-separated values (CSV) text file (semicolon; period) with UTF-8 character encoding.</w:t>
      </w:r>
    </w:p>
    <w:bookmarkEnd w:id="31"/>
    <w:bookmarkStart w:id="32" w:name="scripts-structure-for-data-analysis"/>
    <w:p>
      <w:pPr>
        <w:pStyle w:val="Heading2"/>
      </w:pPr>
      <w:r>
        <w:rPr>
          <w:rStyle w:val="SectionNumber"/>
        </w:rPr>
        <w:t xml:space="preserve">2.3</w:t>
      </w:r>
      <w:r>
        <w:tab/>
      </w:r>
      <w:r>
        <w:t xml:space="preserve">Scripts structure for data analysis</w:t>
      </w:r>
    </w:p>
    <w:p>
      <w:pPr>
        <w:pStyle w:val="FirstParagraph"/>
      </w:pPr>
      <w:r>
        <w:t xml:space="preserve">The dataset has been organised and analysed within the R free software environment</w:t>
      </w:r>
      <w:r>
        <w:t xml:space="preserve"> </w:t>
      </w:r>
      <w:r>
        <w:t xml:space="preserve">(R Core Team, 2024)</w:t>
      </w:r>
      <w:r>
        <w:t xml:space="preserve"> </w:t>
      </w:r>
      <w:r>
        <w:t xml:space="preserve">using the packages dplyr</w:t>
      </w:r>
      <w:r>
        <w:t xml:space="preserve"> </w:t>
      </w:r>
      <w:r>
        <w:t xml:space="preserve">(Wickham et al., 2023)</w:t>
      </w:r>
      <w:r>
        <w:t xml:space="preserve"> </w:t>
      </w:r>
      <w:r>
        <w:t xml:space="preserve">and ggplot2</w:t>
      </w:r>
      <w:r>
        <w:t xml:space="preserve"> </w:t>
      </w:r>
      <w:r>
        <w:t xml:space="preserve">(Wickham, 2016)</w:t>
      </w:r>
      <w:r>
        <w:t xml:space="preserve">. To improve readability and code reuse, the code was arranged as a workspace with 3 child scripts controlled by a MAIN.R file, including an embedded function used to test hypotheses by generating a series of box plots (Fig.</w:t>
      </w:r>
      <w:r>
        <w:t xml:space="preserve"> </w:t>
      </w:r>
      <w:r>
        <w:t xml:space="preserve">). The MAIN.R file consists of the following:</w:t>
      </w:r>
    </w:p>
    <w:p>
      <w:pPr>
        <w:numPr>
          <w:ilvl w:val="0"/>
          <w:numId w:val="1001"/>
        </w:numPr>
        <w:pStyle w:val="Compact"/>
      </w:pPr>
      <w:r>
        <w:t xml:space="preserve">Load the add-on packages dplyr</w:t>
      </w:r>
      <w:r>
        <w:t xml:space="preserve"> </w:t>
      </w:r>
      <w:r>
        <w:t xml:space="preserve">(Wickham et al., 2023)</w:t>
      </w:r>
      <w:r>
        <w:t xml:space="preserve"> </w:t>
      </w:r>
      <w:r>
        <w:t xml:space="preserve">and ggplot2</w:t>
      </w:r>
      <w:r>
        <w:t xml:space="preserve"> </w:t>
      </w:r>
      <w:r>
        <w:t xml:space="preserve">(Wickham, 2016)</w:t>
      </w:r>
    </w:p>
    <w:p>
      <w:pPr>
        <w:numPr>
          <w:ilvl w:val="0"/>
          <w:numId w:val="1001"/>
        </w:numPr>
        <w:pStyle w:val="Compact"/>
      </w:pPr>
      <w:r>
        <w:t xml:space="preserve">Set the working directory</w:t>
      </w:r>
    </w:p>
    <w:p>
      <w:pPr>
        <w:numPr>
          <w:ilvl w:val="0"/>
          <w:numId w:val="1001"/>
        </w:numPr>
        <w:pStyle w:val="Compact"/>
      </w:pPr>
      <w:r>
        <w:t xml:space="preserve">Include the LOAD.R file, which handles loading and preparing the dataset for the next steps of data analysis</w:t>
      </w:r>
    </w:p>
    <w:p>
      <w:pPr>
        <w:numPr>
          <w:ilvl w:val="0"/>
          <w:numId w:val="1001"/>
        </w:numPr>
        <w:pStyle w:val="Compact"/>
      </w:pPr>
      <w:r>
        <w:t xml:space="preserve">Include the BOXPLOT.R file, required to execute the nested function</w:t>
      </w:r>
      <w:r>
        <w:t xml:space="preserve"> </w:t>
      </w:r>
      <w:r>
        <w:rPr>
          <w:rStyle w:val="VerbatimChar"/>
        </w:rPr>
        <w:t xml:space="preserve">fish_box()</w:t>
      </w:r>
    </w:p>
    <w:p>
      <w:pPr>
        <w:numPr>
          <w:ilvl w:val="0"/>
          <w:numId w:val="1001"/>
        </w:numPr>
        <w:pStyle w:val="Compact"/>
      </w:pPr>
      <w:r>
        <w:t xml:space="preserve">Execution of</w:t>
      </w:r>
      <w:r>
        <w:t xml:space="preserve"> </w:t>
      </w:r>
      <w:r>
        <w:rPr>
          <w:rStyle w:val="VerbatimChar"/>
        </w:rPr>
        <w:t xml:space="preserve">fish_box()</w:t>
      </w:r>
      <w:r>
        <w:t xml:space="preserve">, which generates a series of box plots that are exported as a PDF file to a dedicated directory for easy viewing and comparison of results</w:t>
      </w:r>
    </w:p>
    <w:p>
      <w:pPr>
        <w:numPr>
          <w:ilvl w:val="0"/>
          <w:numId w:val="1001"/>
        </w:numPr>
        <w:pStyle w:val="Compact"/>
      </w:pPr>
      <w:r>
        <w:t xml:space="preserve">Other tests and plots for the data analysis (see chap. </w:t>
      </w:r>
      <w:r>
        <w:t xml:space="preserve">)</w:t>
      </w:r>
    </w:p>
    <w:p>
      <w:pPr>
        <w:pStyle w:val="FirstParagraph"/>
      </w:pPr>
      <w:r>
        <w:t xml:space="preserve">The LOAD.R file handles the loading and preparation of the dataset, ensuring that it is ready for the visualization and data analysis phase in the main script. This file consists of the following:</w:t>
      </w:r>
    </w:p>
    <w:p>
      <w:pPr>
        <w:numPr>
          <w:ilvl w:val="0"/>
          <w:numId w:val="1002"/>
        </w:numPr>
        <w:pStyle w:val="Compact"/>
      </w:pPr>
      <w:r>
        <w:t xml:space="preserve">Data input of the bite rate dataset (Table</w:t>
      </w:r>
      <w:r>
        <w:t xml:space="preserve"> </w:t>
      </w:r>
      <w:r>
        <w:t xml:space="preserve">) and</w:t>
      </w:r>
      <w:r>
        <w:t xml:space="preserve"> </w:t>
      </w:r>
      <w:r>
        <w:t xml:space="preserve">Boulamail et al. (2025)</w:t>
      </w:r>
      <w:r>
        <w:t xml:space="preserve"> </w:t>
      </w:r>
      <w:r>
        <w:t xml:space="preserve">dataset</w:t>
      </w:r>
    </w:p>
    <w:p>
      <w:pPr>
        <w:numPr>
          <w:ilvl w:val="0"/>
          <w:numId w:val="1002"/>
        </w:numPr>
        <w:pStyle w:val="Compact"/>
      </w:pPr>
      <w:r>
        <w:t xml:space="preserve">Union of the columns</w:t>
      </w:r>
      <w:r>
        <w:t xml:space="preserve"> </w:t>
      </w:r>
      <w:r>
        <w:t xml:space="preserve">“</w:t>
      </w:r>
      <w:r>
        <w:t xml:space="preserve">sex</w:t>
      </w:r>
      <w:r>
        <w:t xml:space="preserve">”</w:t>
      </w:r>
      <w:r>
        <w:t xml:space="preserve"> </w:t>
      </w:r>
      <w:r>
        <w:t xml:space="preserve">and</w:t>
      </w:r>
      <w:r>
        <w:t xml:space="preserve"> </w:t>
      </w:r>
      <w:r>
        <w:t xml:space="preserve">“</w:t>
      </w:r>
      <w:r>
        <w:t xml:space="preserve">temperature</w:t>
      </w:r>
      <w:r>
        <w:t xml:space="preserve">”</w:t>
      </w:r>
      <w:r>
        <w:t xml:space="preserve"> </w:t>
      </w:r>
      <w:r>
        <w:t xml:space="preserve">from the</w:t>
      </w:r>
      <w:r>
        <w:t xml:space="preserve"> </w:t>
      </w:r>
      <w:r>
        <w:t xml:space="preserve">Boulamail et al. (2025)</w:t>
      </w:r>
      <w:r>
        <w:t xml:space="preserve"> </w:t>
      </w:r>
      <w:r>
        <w:t xml:space="preserve">dataset to the bite rate dataset, creating a complete dataset for analysis that match the</w:t>
      </w:r>
      <w:r>
        <w:t xml:space="preserve"> </w:t>
      </w:r>
      <w:r>
        <w:t xml:space="preserve">“</w:t>
      </w:r>
      <w:r>
        <w:t xml:space="preserve">sex</w:t>
      </w:r>
      <w:r>
        <w:t xml:space="preserve">”</w:t>
      </w:r>
      <w:r>
        <w:t xml:space="preserve"> </w:t>
      </w:r>
      <w:r>
        <w:t xml:space="preserve">of the fish and the</w:t>
      </w:r>
      <w:r>
        <w:t xml:space="preserve"> </w:t>
      </w:r>
      <w:r>
        <w:t xml:space="preserve">“</w:t>
      </w:r>
      <w:r>
        <w:t xml:space="preserve">temperature</w:t>
      </w:r>
      <w:r>
        <w:t xml:space="preserve">”</w:t>
      </w:r>
      <w:r>
        <w:t xml:space="preserve"> </w:t>
      </w:r>
      <w:r>
        <w:t xml:space="preserve">at which the assay was performed (see par.</w:t>
      </w:r>
      <w:r>
        <w:t xml:space="preserve"> </w:t>
      </w:r>
      <w:r>
        <w:t xml:space="preserve">) with the corresponding value of</w:t>
      </w:r>
      <w:r>
        <w:t xml:space="preserve"> </w:t>
      </w:r>
      <w:r>
        <w:t xml:space="preserve">“</w:t>
      </w:r>
      <w:r>
        <w:t xml:space="preserve">run</w:t>
      </w:r>
      <w:r>
        <w:t xml:space="preserve">”</w:t>
      </w:r>
    </w:p>
    <w:p>
      <w:pPr>
        <w:numPr>
          <w:ilvl w:val="0"/>
          <w:numId w:val="1002"/>
        </w:numPr>
        <w:pStyle w:val="Compact"/>
      </w:pPr>
      <w:r>
        <w:t xml:space="preserve">Include the TIME.R file. This script converts time values from the</w:t>
      </w:r>
      <w:r>
        <w:t xml:space="preserve"> </w:t>
      </w:r>
      <w:r>
        <w:t xml:space="preserve">“</w:t>
      </w:r>
      <w:r>
        <w:t xml:space="preserve">mm:ss</w:t>
      </w:r>
      <w:r>
        <w:t xml:space="preserve">”</w:t>
      </w:r>
      <w:r>
        <w:t xml:space="preserve"> </w:t>
      </w:r>
      <w:r>
        <w:t xml:space="preserve">format to seconds making time data numerical and thus easier to analyse</w:t>
      </w:r>
    </w:p>
    <w:p>
      <w:pPr>
        <w:numPr>
          <w:ilvl w:val="0"/>
          <w:numId w:val="1002"/>
        </w:numPr>
        <w:pStyle w:val="Compact"/>
      </w:pPr>
      <w:r>
        <w:t xml:space="preserve">Convert the columns</w:t>
      </w:r>
      <w:r>
        <w:t xml:space="preserve"> </w:t>
      </w:r>
      <w:r>
        <w:t xml:space="preserve">“</w:t>
      </w:r>
      <w:r>
        <w:t xml:space="preserve">patch</w:t>
      </w:r>
      <w:r>
        <w:t xml:space="preserve">”</w:t>
      </w:r>
      <w:r>
        <w:t xml:space="preserve">,</w:t>
      </w:r>
      <w:r>
        <w:t xml:space="preserve"> </w:t>
      </w:r>
      <w:r>
        <w:t xml:space="preserve">“</w:t>
      </w:r>
      <w:r>
        <w:t xml:space="preserve">sex</w:t>
      </w:r>
      <w:r>
        <w:t xml:space="preserve">”</w:t>
      </w:r>
      <w:r>
        <w:t xml:space="preserve"> </w:t>
      </w:r>
      <w:r>
        <w:t xml:space="preserve">and</w:t>
      </w:r>
      <w:r>
        <w:t xml:space="preserve"> </w:t>
      </w:r>
      <w:r>
        <w:t xml:space="preserve">“</w:t>
      </w:r>
      <w:r>
        <w:t xml:space="preserve">temperature</w:t>
      </w:r>
      <w:r>
        <w:t xml:space="preserve">”</w:t>
      </w:r>
      <w:r>
        <w:t xml:space="preserve"> </w:t>
      </w:r>
      <w:r>
        <w:t xml:space="preserve">as a factor to simplify the analysis</w:t>
      </w:r>
    </w:p>
    <w:p>
      <w:pPr>
        <w:numPr>
          <w:ilvl w:val="0"/>
          <w:numId w:val="1002"/>
        </w:numPr>
        <w:pStyle w:val="Compact"/>
      </w:pPr>
      <w:r>
        <w:t xml:space="preserve">Remove the rows corresponding to when the fish did not explore the maze (</w:t>
      </w:r>
      <w:r>
        <w:rPr>
          <w:rStyle w:val="VerbatimChar"/>
        </w:rPr>
        <w:t xml:space="preserve">entrance=NA</w:t>
      </w:r>
      <w:r>
        <w:t xml:space="preserve">) and when the fish did not eat (</w:t>
      </w:r>
      <w:r>
        <w:rPr>
          <w:rStyle w:val="VerbatimChar"/>
        </w:rPr>
        <w:t xml:space="preserve">nbites=NA</w:t>
      </w:r>
      <w:r>
        <w:t xml:space="preserve">)</w:t>
      </w:r>
    </w:p>
    <w:p>
      <w:pPr>
        <w:numPr>
          <w:ilvl w:val="0"/>
          <w:numId w:val="1002"/>
        </w:numPr>
        <w:pStyle w:val="Compact"/>
      </w:pPr>
      <w:r>
        <w:t xml:space="preserve">Add 2 columns,</w:t>
      </w:r>
      <w:r>
        <w:t xml:space="preserve"> </w:t>
      </w:r>
      <w:r>
        <w:t xml:space="preserve">“</w:t>
      </w:r>
      <w:r>
        <w:t xml:space="preserve">cut_entrance</w:t>
      </w:r>
      <w:r>
        <w:t xml:space="preserve">”</w:t>
      </w:r>
      <w:r>
        <w:t xml:space="preserve"> </w:t>
      </w:r>
      <w:r>
        <w:t xml:space="preserve">and</w:t>
      </w:r>
      <w:r>
        <w:t xml:space="preserve"> </w:t>
      </w:r>
      <w:r>
        <w:t xml:space="preserve">“</w:t>
      </w:r>
      <w:r>
        <w:t xml:space="preserve">time</w:t>
      </w:r>
      <w:r>
        <w:t xml:space="preserve">”</w:t>
      </w:r>
      <w:r>
        <w:t xml:space="preserve">. The</w:t>
      </w:r>
      <w:r>
        <w:t xml:space="preserve"> </w:t>
      </w:r>
      <w:r>
        <w:t xml:space="preserve">“</w:t>
      </w:r>
      <w:r>
        <w:t xml:space="preserve">cut_entrance</w:t>
      </w:r>
      <w:r>
        <w:t xml:space="preserve">”</w:t>
      </w:r>
      <w:r>
        <w:t xml:space="preserve"> </w:t>
      </w:r>
      <w:r>
        <w:t xml:space="preserve">column divides the</w:t>
      </w:r>
      <w:r>
        <w:t xml:space="preserve"> </w:t>
      </w:r>
      <w:r>
        <w:t xml:space="preserve">“</w:t>
      </w:r>
      <w:r>
        <w:t xml:space="preserve">entrance</w:t>
      </w:r>
      <w:r>
        <w:t xml:space="preserve">”</w:t>
      </w:r>
      <w:r>
        <w:t xml:space="preserve"> </w:t>
      </w:r>
      <w:r>
        <w:t xml:space="preserve">times into 4 categorical intervals of 5 minutes each (labels:</w:t>
      </w:r>
      <w:r>
        <w:t xml:space="preserve"> </w:t>
      </w:r>
      <w:r>
        <w:t xml:space="preserve">“</w:t>
      </w:r>
      <w:r>
        <w:t xml:space="preserve">5 min</w:t>
      </w:r>
      <w:r>
        <w:t xml:space="preserve">”</w:t>
      </w:r>
      <w:r>
        <w:t xml:space="preserve">,</w:t>
      </w:r>
      <w:r>
        <w:t xml:space="preserve"> </w:t>
      </w:r>
      <w:r>
        <w:t xml:space="preserve">“</w:t>
      </w:r>
      <w:r>
        <w:t xml:space="preserve">10 min</w:t>
      </w:r>
      <w:r>
        <w:t xml:space="preserve">”</w:t>
      </w:r>
      <w:r>
        <w:t xml:space="preserve">,</w:t>
      </w:r>
      <w:r>
        <w:t xml:space="preserve"> </w:t>
      </w:r>
      <w:r>
        <w:t xml:space="preserve">“</w:t>
      </w:r>
      <w:r>
        <w:t xml:space="preserve">15 min</w:t>
      </w:r>
      <w:r>
        <w:t xml:space="preserve">”</w:t>
      </w:r>
      <w:r>
        <w:t xml:space="preserve">,</w:t>
      </w:r>
      <w:r>
        <w:t xml:space="preserve"> </w:t>
      </w:r>
      <w:r>
        <w:t xml:space="preserve">“</w:t>
      </w:r>
      <w:r>
        <w:t xml:space="preserve">20 min</w:t>
      </w:r>
      <w:r>
        <w:t xml:space="preserve">”</w:t>
      </w:r>
      <w:r>
        <w:t xml:space="preserve">), while</w:t>
      </w:r>
      <w:r>
        <w:t xml:space="preserve"> </w:t>
      </w:r>
      <w:r>
        <w:t xml:space="preserve">“</w:t>
      </w:r>
      <w:r>
        <w:t xml:space="preserve">time</w:t>
      </w:r>
      <w:r>
        <w:t xml:space="preserve">”</w:t>
      </w:r>
      <w:r>
        <w:t xml:space="preserve"> </w:t>
      </w:r>
      <w:r>
        <w:t xml:space="preserve">divides the same time interval into 8 numerical 2.5 minute intervals (</w:t>
      </w:r>
      <w:r>
        <w:t xml:space="preserve">“</w:t>
      </w:r>
      <w:r>
        <w:t xml:space="preserve">2.5</w:t>
      </w:r>
      <w:r>
        <w:t xml:space="preserve">”</w:t>
      </w:r>
      <w:r>
        <w:t xml:space="preserve"> </w:t>
      </w:r>
      <w:r>
        <w:t xml:space="preserve">to</w:t>
      </w:r>
      <w:r>
        <w:t xml:space="preserve"> </w:t>
      </w:r>
      <w:r>
        <w:t xml:space="preserve">“</w:t>
      </w:r>
      <w:r>
        <w:t xml:space="preserve">20</w:t>
      </w:r>
      <w:r>
        <w:t xml:space="preserve">”</w:t>
      </w:r>
      <w:r>
        <w:t xml:space="preserve">). These intervals facilitate the analysis of behaviour in specific time intervals.</w:t>
      </w:r>
    </w:p>
    <w:p>
      <w:pPr>
        <w:pStyle w:val="FirstParagraph"/>
      </w:pPr>
      <w:r>
        <w:t xml:space="preserve">Finally, the BOXPLOT.R file includes the function</w:t>
      </w:r>
      <w:r>
        <w:t xml:space="preserve"> </w:t>
      </w:r>
      <w:r>
        <w:rPr>
          <w:rStyle w:val="VerbatimChar"/>
        </w:rPr>
        <w:t xml:space="preserve">fish_box()</w:t>
      </w:r>
      <w:r>
        <w:t xml:space="preserve">, which generates a series of box plots that are exported as a PDF file to a dedicated directory, facilitating an intuitive comparison of y-distributions across x-ranges and z-groups (see chap.</w:t>
      </w:r>
      <w:r>
        <w:t xml:space="preserve"> </w:t>
      </w:r>
      <w:r>
        <w:t xml:space="preserve">for more details). This function is highly customizable, allowing for enhanced control over both aesthetics and functionality compared to standard plots. Users can adjust a range of elements through the function’s arguments (Table</w:t>
      </w:r>
      <w:r>
        <w:t xml:space="preserve"> </w:t>
      </w:r>
      <w:r>
        <w:t xml:space="preserve">), such as colour schemes, axis limits, legend positioning, and plot outlines, without needing to modify the underlying code. This flexibility produces visually appealing and analytically useful representations, making it a valuable tool for data exploration and analysis.</w:t>
      </w:r>
    </w:p>
    <w:p>
      <w:pPr>
        <w:pStyle w:val="TableCaption"/>
      </w:pPr>
      <w:r>
        <w:t xml:space="preserve">Summary of arguments for the</w:t>
      </w:r>
      <w:r>
        <w:t xml:space="preserve"> </w:t>
      </w:r>
      <w:r>
        <w:rPr>
          <w:rStyle w:val="VerbatimChar"/>
        </w:rPr>
        <w:t xml:space="preserve">fish_box()</w:t>
      </w:r>
      <w:r>
        <w:t xml:space="preserve"> </w:t>
      </w:r>
      <w:r>
        <w:t xml:space="preserve">function inside the BOXPLOT.R file, detailing each argument’s purpose and default value where present. These arguments allow for enhanced control over both aesthetics and functionality.</w:t>
      </w:r>
      <w:r>
        <w:t xml:space="preserve"> </w:t>
      </w:r>
    </w:p>
    <w:tbl>
      <w:tblPr>
        <w:tblStyle w:val="Table"/>
        <w:tblW w:type="pct" w:w="5000"/>
        <w:tblLook w:firstRow="1" w:lastRow="0" w:firstColumn="0" w:lastColumn="0" w:noHBand="0" w:noVBand="0" w:val="0020"/>
        <w:jc w:val="start"/>
        <w:tblCaption w:val="Summary of arguments for the fish_box() function inside the BOXPLOT.R file, detailing each argument’s purpose and default value where present. These arguments allow for enhanced control over both aesthetics and functionality. "/>
      </w:tblPr>
      <w:tblGrid>
        <w:gridCol w:w="2640"/>
        <w:gridCol w:w="2640"/>
        <w:gridCol w:w="2640"/>
      </w:tblGrid>
      <w:tr>
        <w:trPr>
          <w:tblHeader w:val="true"/>
        </w:trPr>
        <w:tc>
          <w:tcPr/>
          <w:p>
            <w:pPr>
              <w:pStyle w:val="Compact"/>
              <w:jc w:val="left"/>
            </w:pPr>
            <w:r>
              <w:t xml:space="preserve">Argument</w:t>
            </w:r>
          </w:p>
        </w:tc>
        <w:tc>
          <w:tcPr/>
          <w:p>
            <w:pPr>
              <w:pStyle w:val="Compact"/>
              <w:jc w:val="left"/>
            </w:pPr>
            <w:r>
              <w:t xml:space="preserve">Description</w:t>
            </w:r>
          </w:p>
        </w:tc>
        <w:tc>
          <w:tcPr/>
          <w:p>
            <w:pPr>
              <w:pStyle w:val="Compact"/>
              <w:jc w:val="left"/>
            </w:pPr>
            <w:r>
              <w:t xml:space="preserve">Default Value</w:t>
            </w:r>
          </w:p>
        </w:tc>
      </w:tr>
      <w:tr>
        <w:tc>
          <w:tcPr/>
          <w:p>
            <w:pPr>
              <w:pStyle w:val="Compact"/>
              <w:jc w:val="left"/>
            </w:pPr>
            <w:r>
              <w:rPr>
                <w:rStyle w:val="VerbatimChar"/>
              </w:rPr>
              <w:t xml:space="preserve">pdf_path</w:t>
            </w:r>
          </w:p>
        </w:tc>
        <w:tc>
          <w:tcPr/>
          <w:p>
            <w:pPr>
              <w:pStyle w:val="Compact"/>
              <w:jc w:val="left"/>
            </w:pPr>
            <w:r>
              <w:t xml:space="preserve">The file path to save the box plot as a PDF.</w:t>
            </w:r>
          </w:p>
        </w:tc>
        <w:tc>
          <w:tcPr/>
          <w:p>
            <w:pPr>
              <w:pStyle w:val="Compact"/>
              <w:jc w:val="left"/>
            </w:pPr>
            <w:r>
              <w:t xml:space="preserve">No default value</w:t>
            </w:r>
          </w:p>
        </w:tc>
      </w:tr>
      <w:tr>
        <w:tc>
          <w:tcPr/>
          <w:p>
            <w:pPr>
              <w:pStyle w:val="Compact"/>
              <w:jc w:val="left"/>
            </w:pPr>
            <w:r>
              <w:rPr>
                <w:rStyle w:val="VerbatimChar"/>
              </w:rPr>
              <w:t xml:space="preserve">single_run</w:t>
            </w:r>
          </w:p>
        </w:tc>
        <w:tc>
          <w:tcPr/>
          <w:p>
            <w:pPr>
              <w:pStyle w:val="Compact"/>
              <w:jc w:val="left"/>
            </w:pPr>
            <w:r>
              <w:t xml:space="preserve">If not set to</w:t>
            </w:r>
            <w:r>
              <w:t xml:space="preserve"> </w:t>
            </w:r>
            <w:r>
              <w:rPr>
                <w:rStyle w:val="VerbatimChar"/>
              </w:rPr>
              <w:t xml:space="preserve">FALSE</w:t>
            </w:r>
            <w:r>
              <w:t xml:space="preserve">, generates separate box plots for each unique value in this variable.</w:t>
            </w:r>
          </w:p>
        </w:tc>
        <w:tc>
          <w:tcPr/>
          <w:p>
            <w:pPr>
              <w:pStyle w:val="Compact"/>
              <w:jc w:val="left"/>
            </w:pPr>
            <w:r>
              <w:t xml:space="preserve">No default value</w:t>
            </w:r>
          </w:p>
        </w:tc>
      </w:tr>
      <w:tr>
        <w:tc>
          <w:tcPr/>
          <w:p>
            <w:pPr>
              <w:pStyle w:val="Compact"/>
              <w:jc w:val="left"/>
            </w:pPr>
            <w:r>
              <w:rPr>
                <w:rStyle w:val="VerbatimChar"/>
              </w:rPr>
              <w:t xml:space="preserve">data</w:t>
            </w:r>
          </w:p>
        </w:tc>
        <w:tc>
          <w:tcPr/>
          <w:p>
            <w:pPr>
              <w:pStyle w:val="Compact"/>
              <w:jc w:val="left"/>
            </w:pPr>
            <w:r>
              <w:t xml:space="preserve">The dataset to be used in the box plot.</w:t>
            </w:r>
          </w:p>
        </w:tc>
        <w:tc>
          <w:tcPr/>
          <w:p>
            <w:pPr>
              <w:pStyle w:val="Compact"/>
              <w:jc w:val="left"/>
            </w:pPr>
            <w:r>
              <w:t xml:space="preserve">No default value</w:t>
            </w:r>
          </w:p>
        </w:tc>
      </w:tr>
      <w:tr>
        <w:tc>
          <w:tcPr/>
          <w:p>
            <w:pPr>
              <w:pStyle w:val="Compact"/>
              <w:jc w:val="left"/>
            </w:pPr>
            <w:r>
              <w:rPr>
                <w:rStyle w:val="VerbatimChar"/>
              </w:rPr>
              <w:t xml:space="preserve">x_val</w:t>
            </w:r>
          </w:p>
        </w:tc>
        <w:tc>
          <w:tcPr/>
          <w:p>
            <w:pPr>
              <w:pStyle w:val="Compact"/>
              <w:jc w:val="left"/>
            </w:pPr>
            <w:r>
              <w:t xml:space="preserve">The independent x-variable to display on the x-axis.</w:t>
            </w:r>
          </w:p>
        </w:tc>
        <w:tc>
          <w:tcPr/>
          <w:p>
            <w:pPr>
              <w:pStyle w:val="Compact"/>
              <w:jc w:val="left"/>
            </w:pPr>
            <w:r>
              <w:t xml:space="preserve">No default value</w:t>
            </w:r>
          </w:p>
        </w:tc>
      </w:tr>
      <w:tr>
        <w:tc>
          <w:tcPr/>
          <w:p>
            <w:pPr>
              <w:pStyle w:val="Compact"/>
              <w:jc w:val="left"/>
            </w:pPr>
            <w:r>
              <w:rPr>
                <w:rStyle w:val="VerbatimChar"/>
              </w:rPr>
              <w:t xml:space="preserve">y_val</w:t>
            </w:r>
          </w:p>
        </w:tc>
        <w:tc>
          <w:tcPr/>
          <w:p>
            <w:pPr>
              <w:pStyle w:val="Compact"/>
              <w:jc w:val="left"/>
            </w:pPr>
            <w:r>
              <w:t xml:space="preserve">The dependent y-variable to display on the y-axis.</w:t>
            </w:r>
          </w:p>
        </w:tc>
        <w:tc>
          <w:tcPr/>
          <w:p>
            <w:pPr>
              <w:pStyle w:val="Compact"/>
              <w:jc w:val="left"/>
            </w:pPr>
            <w:r>
              <w:t xml:space="preserve">No default value</w:t>
            </w:r>
          </w:p>
        </w:tc>
      </w:tr>
      <w:tr>
        <w:tc>
          <w:tcPr/>
          <w:p>
            <w:pPr>
              <w:pStyle w:val="Compact"/>
              <w:jc w:val="left"/>
            </w:pPr>
            <w:r>
              <w:rPr>
                <w:rStyle w:val="VerbatimChar"/>
              </w:rPr>
              <w:t xml:space="preserve">z_val</w:t>
            </w:r>
          </w:p>
        </w:tc>
        <w:tc>
          <w:tcPr/>
          <w:p>
            <w:pPr>
              <w:pStyle w:val="Compact"/>
              <w:jc w:val="left"/>
            </w:pPr>
            <w:r>
              <w:t xml:space="preserve">Additional categorical z-variable to group data in the box plot.</w:t>
            </w:r>
          </w:p>
        </w:tc>
        <w:tc>
          <w:tcPr/>
          <w:p>
            <w:pPr>
              <w:pStyle w:val="Compact"/>
              <w:jc w:val="left"/>
            </w:pPr>
            <w:r>
              <w:t xml:space="preserve">No default value</w:t>
            </w:r>
          </w:p>
        </w:tc>
      </w:tr>
      <w:tr>
        <w:tc>
          <w:tcPr/>
          <w:p>
            <w:pPr>
              <w:pStyle w:val="Compact"/>
              <w:jc w:val="left"/>
            </w:pPr>
            <w:r>
              <w:rPr>
                <w:rStyle w:val="VerbatimChar"/>
              </w:rPr>
              <w:t xml:space="preserve">col_val</w:t>
            </w:r>
          </w:p>
        </w:tc>
        <w:tc>
          <w:tcPr/>
          <w:p>
            <w:pPr>
              <w:pStyle w:val="Compact"/>
              <w:jc w:val="left"/>
            </w:pPr>
            <w:r>
              <w:t xml:space="preserve">Colors for the groups represented in the box plot.</w:t>
            </w:r>
          </w:p>
        </w:tc>
        <w:tc>
          <w:tcPr/>
          <w:p>
            <w:pPr>
              <w:pStyle w:val="Compact"/>
              <w:jc w:val="left"/>
            </w:pPr>
            <w:r>
              <w:t xml:space="preserve">No default value</w:t>
            </w:r>
          </w:p>
        </w:tc>
      </w:tr>
      <w:tr>
        <w:tc>
          <w:tcPr/>
          <w:p>
            <w:pPr>
              <w:pStyle w:val="Compact"/>
              <w:jc w:val="left"/>
            </w:pPr>
            <w:r>
              <w:rPr>
                <w:rStyle w:val="VerbatimChar"/>
              </w:rPr>
              <w:t xml:space="preserve">main</w:t>
            </w:r>
          </w:p>
        </w:tc>
        <w:tc>
          <w:tcPr/>
          <w:p>
            <w:pPr>
              <w:pStyle w:val="Compact"/>
              <w:jc w:val="left"/>
            </w:pPr>
            <w:r>
              <w:t xml:space="preserve">The plot title; if set to</w:t>
            </w:r>
            <w:r>
              <w:t xml:space="preserve"> </w:t>
            </w:r>
            <w:r>
              <w:rPr>
                <w:rStyle w:val="VerbatimChar"/>
              </w:rPr>
              <w:t xml:space="preserve">FALSE</w:t>
            </w:r>
            <w:r>
              <w:t xml:space="preserve">, a default title is generated using</w:t>
            </w:r>
            <w:r>
              <w:t xml:space="preserve"> </w:t>
            </w:r>
            <w:r>
              <w:t xml:space="preserve">“</w:t>
            </w:r>
            <w:r>
              <w:t xml:space="preserve">y_val ~ x_val * z_val, single_run: run_val Outline: outline_val</w:t>
            </w:r>
            <w:r>
              <w:t xml:space="preserve">”</w:t>
            </w:r>
            <w:r>
              <w:t xml:space="preserve"> </w:t>
            </w:r>
            <w:r>
              <w:t xml:space="preserve">where</w:t>
            </w:r>
            <w:r>
              <w:t xml:space="preserve"> </w:t>
            </w:r>
            <w:r>
              <w:rPr>
                <w:rStyle w:val="VerbatimChar"/>
              </w:rPr>
              <w:t xml:space="preserve">run_val</w:t>
            </w:r>
            <w:r>
              <w:t xml:space="preserve"> </w:t>
            </w:r>
            <w:r>
              <w:t xml:space="preserve">represents the unique values within the</w:t>
            </w:r>
            <w:r>
              <w:t xml:space="preserve"> </w:t>
            </w:r>
            <w:r>
              <w:rPr>
                <w:rStyle w:val="VerbatimChar"/>
              </w:rPr>
              <w:t xml:space="preserve">single_run</w:t>
            </w:r>
            <w:r>
              <w:t xml:space="preserve"> </w:t>
            </w:r>
            <w:r>
              <w:t xml:space="preserve">variable.</w:t>
            </w:r>
          </w:p>
        </w:tc>
        <w:tc>
          <w:tcPr/>
          <w:p>
            <w:pPr>
              <w:pStyle w:val="Compact"/>
              <w:jc w:val="left"/>
            </w:pPr>
            <w:r>
              <w:rPr>
                <w:rStyle w:val="VerbatimChar"/>
              </w:rPr>
              <w:t xml:space="preserve">FALSE</w:t>
            </w:r>
          </w:p>
        </w:tc>
      </w:tr>
      <w:tr>
        <w:tc>
          <w:tcPr/>
          <w:p>
            <w:pPr>
              <w:pStyle w:val="Compact"/>
              <w:jc w:val="left"/>
            </w:pPr>
            <w:r>
              <w:rPr>
                <w:rStyle w:val="VerbatimChar"/>
              </w:rPr>
              <w:t xml:space="preserve">ylab</w:t>
            </w:r>
          </w:p>
        </w:tc>
        <w:tc>
          <w:tcPr/>
          <w:p>
            <w:pPr>
              <w:pStyle w:val="Compact"/>
              <w:jc w:val="left"/>
            </w:pPr>
            <w:r>
              <w:t xml:space="preserve">The y-axis label; if set to</w:t>
            </w:r>
            <w:r>
              <w:t xml:space="preserve"> </w:t>
            </w:r>
            <w:r>
              <w:rPr>
                <w:rStyle w:val="VerbatimChar"/>
              </w:rPr>
              <w:t xml:space="preserve">FALSE</w:t>
            </w:r>
            <w:r>
              <w:t xml:space="preserve">, uses the name of</w:t>
            </w:r>
            <w:r>
              <w:t xml:space="preserve"> </w:t>
            </w:r>
            <w:r>
              <w:rPr>
                <w:rStyle w:val="VerbatimChar"/>
              </w:rPr>
              <w:t xml:space="preserve">y_val</w:t>
            </w:r>
            <w:r>
              <w:t xml:space="preserve">.</w:t>
            </w:r>
          </w:p>
        </w:tc>
        <w:tc>
          <w:tcPr/>
          <w:p>
            <w:pPr>
              <w:pStyle w:val="Compact"/>
              <w:jc w:val="left"/>
            </w:pPr>
            <w:r>
              <w:rPr>
                <w:rStyle w:val="VerbatimChar"/>
              </w:rPr>
              <w:t xml:space="preserve">FALSE</w:t>
            </w:r>
          </w:p>
        </w:tc>
      </w:tr>
      <w:tr>
        <w:tc>
          <w:tcPr/>
          <w:p>
            <w:pPr>
              <w:pStyle w:val="Compact"/>
              <w:jc w:val="left"/>
            </w:pPr>
            <w:r>
              <w:rPr>
                <w:rStyle w:val="VerbatimChar"/>
              </w:rPr>
              <w:t xml:space="preserve">xlab</w:t>
            </w:r>
          </w:p>
        </w:tc>
        <w:tc>
          <w:tcPr/>
          <w:p>
            <w:pPr>
              <w:pStyle w:val="Compact"/>
              <w:jc w:val="left"/>
            </w:pPr>
            <w:r>
              <w:t xml:space="preserve">The x-axis label; if set to</w:t>
            </w:r>
            <w:r>
              <w:t xml:space="preserve"> </w:t>
            </w:r>
            <w:r>
              <w:rPr>
                <w:rStyle w:val="VerbatimChar"/>
              </w:rPr>
              <w:t xml:space="preserve">FALSE</w:t>
            </w:r>
            <w:r>
              <w:t xml:space="preserve">, uses the name of</w:t>
            </w:r>
            <w:r>
              <w:t xml:space="preserve"> </w:t>
            </w:r>
            <w:r>
              <w:rPr>
                <w:rStyle w:val="VerbatimChar"/>
              </w:rPr>
              <w:t xml:space="preserve">z_val</w:t>
            </w:r>
            <w:r>
              <w:t xml:space="preserve">.</w:t>
            </w:r>
          </w:p>
        </w:tc>
        <w:tc>
          <w:tcPr/>
          <w:p>
            <w:pPr>
              <w:pStyle w:val="Compact"/>
              <w:jc w:val="left"/>
            </w:pPr>
            <w:r>
              <w:rPr>
                <w:rStyle w:val="VerbatimChar"/>
              </w:rPr>
              <w:t xml:space="preserve">FALSE</w:t>
            </w:r>
          </w:p>
        </w:tc>
      </w:tr>
      <w:tr>
        <w:tc>
          <w:tcPr/>
          <w:p>
            <w:pPr>
              <w:pStyle w:val="Compact"/>
              <w:jc w:val="left"/>
            </w:pPr>
            <w:r>
              <w:rPr>
                <w:rStyle w:val="VerbatimChar"/>
              </w:rPr>
              <w:t xml:space="preserve">legend_position</w:t>
            </w:r>
          </w:p>
        </w:tc>
        <w:tc>
          <w:tcPr/>
          <w:p>
            <w:pPr>
              <w:pStyle w:val="Compact"/>
              <w:jc w:val="left"/>
            </w:pPr>
            <w:r>
              <w:t xml:space="preserve">Position of the legend in the plot; if set to</w:t>
            </w:r>
            <w:r>
              <w:t xml:space="preserve"> </w:t>
            </w:r>
            <w:r>
              <w:rPr>
                <w:rStyle w:val="VerbatimChar"/>
              </w:rPr>
              <w:t xml:space="preserve">FALSE</w:t>
            </w:r>
            <w:r>
              <w:t xml:space="preserve">, the legend is not displayed.</w:t>
            </w:r>
          </w:p>
        </w:tc>
        <w:tc>
          <w:tcPr/>
          <w:p>
            <w:pPr>
              <w:pStyle w:val="Compact"/>
              <w:jc w:val="left"/>
            </w:pPr>
            <w:r>
              <w:rPr>
                <w:rStyle w:val="VerbatimChar"/>
              </w:rPr>
              <w:t xml:space="preserve">FALSE</w:t>
            </w:r>
          </w:p>
        </w:tc>
      </w:tr>
      <w:tr>
        <w:tc>
          <w:tcPr/>
          <w:p>
            <w:pPr>
              <w:pStyle w:val="Compact"/>
              <w:jc w:val="left"/>
            </w:pPr>
            <w:r>
              <w:rPr>
                <w:rStyle w:val="VerbatimChar"/>
              </w:rPr>
              <w:t xml:space="preserve">ylim</w:t>
            </w:r>
          </w:p>
        </w:tc>
        <w:tc>
          <w:tcPr/>
          <w:p>
            <w:pPr>
              <w:pStyle w:val="Compact"/>
              <w:jc w:val="left"/>
            </w:pPr>
            <w:r>
              <w:t xml:space="preserve">Limits for the y-axis; if set to</w:t>
            </w:r>
            <w:r>
              <w:t xml:space="preserve"> </w:t>
            </w:r>
            <w:r>
              <w:rPr>
                <w:rStyle w:val="VerbatimChar"/>
              </w:rPr>
              <w:t xml:space="preserve">FALSE</w:t>
            </w:r>
            <w:r>
              <w:t xml:space="preserve">, the limits are automatically calculated.</w:t>
            </w:r>
          </w:p>
        </w:tc>
        <w:tc>
          <w:tcPr/>
          <w:p>
            <w:pPr>
              <w:pStyle w:val="Compact"/>
              <w:jc w:val="left"/>
            </w:pPr>
            <w:r>
              <w:rPr>
                <w:rStyle w:val="VerbatimChar"/>
              </w:rPr>
              <w:t xml:space="preserve">FALSE</w:t>
            </w:r>
          </w:p>
        </w:tc>
      </w:tr>
      <w:tr>
        <w:tc>
          <w:tcPr/>
          <w:p>
            <w:pPr>
              <w:pStyle w:val="Compact"/>
              <w:jc w:val="left"/>
            </w:pPr>
            <w:r>
              <w:rPr>
                <w:rStyle w:val="VerbatimChar"/>
              </w:rPr>
              <w:t xml:space="preserve">no_outline</w:t>
            </w:r>
          </w:p>
        </w:tc>
        <w:tc>
          <w:tcPr/>
          <w:p>
            <w:pPr>
              <w:pStyle w:val="Compact"/>
              <w:jc w:val="left"/>
            </w:pPr>
            <w:r>
              <w:t xml:space="preserve">When set to</w:t>
            </w:r>
            <w:r>
              <w:t xml:space="preserve"> </w:t>
            </w:r>
            <w:r>
              <w:rPr>
                <w:rStyle w:val="VerbatimChar"/>
              </w:rPr>
              <w:t xml:space="preserve">TRUE</w:t>
            </w:r>
            <w:r>
              <w:t xml:space="preserve">, creates two versions of each box plot: one with outlines and one without. If set to</w:t>
            </w:r>
            <w:r>
              <w:t xml:space="preserve"> </w:t>
            </w:r>
            <w:r>
              <w:rPr>
                <w:rStyle w:val="VerbatimChar"/>
              </w:rPr>
              <w:t xml:space="preserve">FALSE</w:t>
            </w:r>
            <w:r>
              <w:t xml:space="preserve">, only one box plot is created, with outlines included.</w:t>
            </w:r>
          </w:p>
        </w:tc>
        <w:tc>
          <w:tcPr/>
          <w:p>
            <w:pPr>
              <w:pStyle w:val="Compact"/>
              <w:jc w:val="left"/>
            </w:pPr>
            <w:r>
              <w:rPr>
                <w:rStyle w:val="VerbatimChar"/>
              </w:rPr>
              <w:t xml:space="preserve">FALSE</w:t>
            </w:r>
          </w:p>
        </w:tc>
      </w:tr>
    </w:tbl>
    <w:bookmarkEnd w:id="32"/>
    <w:bookmarkStart w:id="33" w:name="Xf49b4635999a02268d1e4cd3fe6799a42afc07a"/>
    <w:p>
      <w:pPr>
        <w:pStyle w:val="Heading2"/>
      </w:pPr>
      <w:r>
        <w:rPr>
          <w:rStyle w:val="SectionNumber"/>
        </w:rPr>
        <w:t xml:space="preserve">2.4</w:t>
      </w:r>
      <w:r>
        <w:tab/>
      </w:r>
      <w:r>
        <w:t xml:space="preserve">Integrated RMarkdown workflow for data analysis and documentation</w:t>
      </w:r>
    </w:p>
    <w:p>
      <w:pPr>
        <w:pStyle w:val="FirstParagraph"/>
      </w:pPr>
      <w:r>
        <w:t xml:space="preserve">The entire analytical process, along with the composition of this thesis as its documentation, was managed through an integrated R workflow that combines data management (dplyr package,</w:t>
      </w:r>
      <w:r>
        <w:t xml:space="preserve"> </w:t>
      </w:r>
      <w:r>
        <w:t xml:space="preserve">Wickham et al. (2023)</w:t>
      </w:r>
      <w:r>
        <w:t xml:space="preserve">), analysis (base package,</w:t>
      </w:r>
      <w:r>
        <w:t xml:space="preserve"> </w:t>
      </w:r>
      <w:r>
        <w:t xml:space="preserve">R Core Team (2024)</w:t>
      </w:r>
      <w:r>
        <w:t xml:space="preserve">), visual representation (base and ggplot2 packages,</w:t>
      </w:r>
      <w:r>
        <w:t xml:space="preserve"> </w:t>
      </w:r>
      <w:r>
        <w:t xml:space="preserve">R Core Team (2024)</w:t>
      </w:r>
      <w:r>
        <w:t xml:space="preserve">;</w:t>
      </w:r>
      <w:r>
        <w:t xml:space="preserve"> </w:t>
      </w:r>
      <w:r>
        <w:t xml:space="preserve">Wickham (2016)</w:t>
      </w:r>
      <w:r>
        <w:t xml:space="preserve">) and text editing (RMarkdown,</w:t>
      </w:r>
      <w:r>
        <w:t xml:space="preserve"> </w:t>
      </w:r>
      <w:r>
        <w:t xml:space="preserve">Allaire et al. (2022)</w:t>
      </w:r>
      <w:r>
        <w:t xml:space="preserve">). The workflow was designed to ensure reproducibility and consistency between analysis and content, forming a well-formatted final document that is updated each time the code is modified. This workflow is controlled by a MAIN_MARKDOWN.R that consists of the following:</w:t>
      </w:r>
    </w:p>
    <w:p>
      <w:pPr>
        <w:numPr>
          <w:ilvl w:val="0"/>
          <w:numId w:val="1003"/>
        </w:numPr>
      </w:pPr>
      <w:r>
        <w:t xml:space="preserve">Load the add-on packages rmarkdown</w:t>
      </w:r>
      <w:r>
        <w:t xml:space="preserve"> </w:t>
      </w:r>
      <w:r>
        <w:t xml:space="preserve">(Allaire et al., 2022)</w:t>
      </w:r>
      <w:r>
        <w:t xml:space="preserve">, bookdown</w:t>
      </w:r>
      <w:r>
        <w:t xml:space="preserve"> </w:t>
      </w:r>
      <w:r>
        <w:t xml:space="preserve">(Xie, 2022)</w:t>
      </w:r>
      <w:r>
        <w:t xml:space="preserve">, knitr</w:t>
      </w:r>
      <w:r>
        <w:t xml:space="preserve"> </w:t>
      </w:r>
      <w:r>
        <w:t xml:space="preserve">(Xie, 2014)</w:t>
      </w:r>
      <w:r>
        <w:t xml:space="preserve">, kableExtra</w:t>
      </w:r>
      <w:r>
        <w:t xml:space="preserve"> </w:t>
      </w:r>
      <w:r>
        <w:t xml:space="preserve">(Zhu, 2021)</w:t>
      </w:r>
      <w:r>
        <w:t xml:space="preserve">, pander</w:t>
      </w:r>
      <w:r>
        <w:t xml:space="preserve"> </w:t>
      </w:r>
      <w:r>
        <w:t xml:space="preserve">(Daróczi &amp; Tsegelskyi, 2022)</w:t>
      </w:r>
      <w:r>
        <w:t xml:space="preserve">, dplyr</w:t>
      </w:r>
      <w:r>
        <w:t xml:space="preserve"> </w:t>
      </w:r>
      <w:r>
        <w:t xml:space="preserve">(Wickham et al., 2023)</w:t>
      </w:r>
      <w:r>
        <w:t xml:space="preserve"> </w:t>
      </w:r>
      <w:r>
        <w:t xml:space="preserve">and ggplot2</w:t>
      </w:r>
      <w:r>
        <w:t xml:space="preserve"> </w:t>
      </w:r>
      <w:r>
        <w:t xml:space="preserve">(Wickham, 2016)</w:t>
      </w:r>
    </w:p>
    <w:p>
      <w:pPr>
        <w:numPr>
          <w:ilvl w:val="0"/>
          <w:numId w:val="1003"/>
        </w:numPr>
      </w:pPr>
      <w:r>
        <w:t xml:space="preserve">Set the working directory</w:t>
      </w:r>
    </w:p>
    <w:p>
      <w:pPr>
        <w:numPr>
          <w:ilvl w:val="0"/>
          <w:numId w:val="1003"/>
        </w:numPr>
      </w:pPr>
      <w:r>
        <w:t xml:space="preserve">Include the MAIN_ANALYSIS.R file, which handles dataset loading, preparation, and data analysis, later incorporated into the MAIN.Rmd file through R code chunks.</w:t>
      </w:r>
    </w:p>
    <w:p>
      <w:pPr>
        <w:numPr>
          <w:ilvl w:val="0"/>
          <w:numId w:val="1003"/>
        </w:numPr>
      </w:pPr>
      <w:r>
        <w:t xml:space="preserve">Render the MAIN.Rmd markdown file into the final PDF document Master_Thesis_Ventruti.pdf, integrating text, analysis and graphs, with customised numbering and formatting options.</w:t>
      </w:r>
    </w:p>
    <w:p>
      <w:pPr>
        <w:pStyle w:val="FirstParagraph"/>
      </w:pPr>
      <w:r>
        <w:t xml:space="preserve">The final format chosen for the thesis was PDF, generated through the integration of a customised LaTeX template. This allowed for professional and academic formatting, with optimised margins, customised headings, and automatic numbering of figures and tables. The use of LaTeX was essential to precisely control the layout of the document and ensure a high-quality result.</w:t>
      </w:r>
    </w:p>
    <w:p>
      <w:pPr>
        <w:pStyle w:val="BodyText"/>
      </w:pPr>
      <w:r>
        <w:t xml:space="preserve">The text of the thesis was organised inside the MAIN.Rmd file into main sections (Introduction, Materials and Methods, Results, Discussion, References), where the Results section integrates R code chunks to perform analyses, generate graphs and tables and automatically include the results in the document. The graphs were created using ggplot2 package</w:t>
      </w:r>
      <w:r>
        <w:t xml:space="preserve"> </w:t>
      </w:r>
      <w:r>
        <w:t xml:space="preserve">(Wickham, 2016)</w:t>
      </w:r>
      <w:r>
        <w:t xml:space="preserve"> </w:t>
      </w:r>
      <w:r>
        <w:t xml:space="preserve">and basic R</w:t>
      </w:r>
      <w:r>
        <w:t xml:space="preserve"> </w:t>
      </w:r>
      <w:r>
        <w:t xml:space="preserve">(R Core Team, 2024)</w:t>
      </w:r>
      <w:r>
        <w:t xml:space="preserve">, while the tables with the test’s results were formatted using knitr</w:t>
      </w:r>
      <w:r>
        <w:t xml:space="preserve"> </w:t>
      </w:r>
      <w:r>
        <w:t xml:space="preserve">(Xie, 2014)</w:t>
      </w:r>
      <w:r>
        <w:t xml:space="preserve">, kableExtra</w:t>
      </w:r>
      <w:r>
        <w:t xml:space="preserve"> </w:t>
      </w:r>
      <w:r>
        <w:t xml:space="preserve">(Zhu, 2021)</w:t>
      </w:r>
      <w:r>
        <w:t xml:space="preserve"> </w:t>
      </w:r>
      <w:r>
        <w:t xml:space="preserve">and pander</w:t>
      </w:r>
      <w:r>
        <w:t xml:space="preserve"> </w:t>
      </w:r>
      <w:r>
        <w:t xml:space="preserve">(Daróczi &amp; Tsegelskyi, 2022)</w:t>
      </w:r>
      <w:r>
        <w:t xml:space="preserve"> </w:t>
      </w:r>
      <w:r>
        <w:t xml:space="preserve">packages. This integration makes it possible to create a fully automated document, where any changes to the code or data are immediately reflected in the final output.</w:t>
      </w:r>
    </w:p>
    <w:p>
      <w:pPr>
        <w:pStyle w:val="BodyText"/>
      </w:pPr>
      <w:r>
        <w:t xml:space="preserve">References management was fully automated using Zotero (VER) implementation. A custom citation style file (apa.csl) was downloaded from Zotero Style Repository</w:t>
      </w:r>
      <w:r>
        <w:t xml:space="preserve"> </w:t>
      </w:r>
      <w:r>
        <w:t xml:space="preserve">(</w:t>
      </w:r>
      <w:r>
        <w:rPr>
          <w:iCs/>
          <w:i/>
        </w:rPr>
        <w:t xml:space="preserve">Zotero Style Repository</w:t>
      </w:r>
      <w:r>
        <w:t xml:space="preserve">, n.d.)</w:t>
      </w:r>
      <w:r>
        <w:t xml:space="preserve"> </w:t>
      </w:r>
      <w:r>
        <w:t xml:space="preserve">and implemented in RMarkdown to ensure that citations were formatted according to American Psychological Association 7th edition (APA) style. In addition, Zotero generated a references.bib file that was integrated into the workflow to automatically create and update the references as new citations were added. This approach simplified source management, reduced errors, and improved overall efficiency.</w:t>
      </w:r>
    </w:p>
    <w:p>
      <w:pPr>
        <w:pStyle w:val="BodyText"/>
      </w:pPr>
      <w:r>
        <w:t xml:space="preserve">With this setup, the integrated workflow provided a consistent and flexible environment for writing, analysing and presenting results in a high-quality academic format.</w:t>
      </w:r>
    </w:p>
    <w:p>
      <w:r>
        <w:br w:type="page"/>
      </w:r>
    </w:p>
    <w:bookmarkEnd w:id="33"/>
    <w:bookmarkEnd w:id="34"/>
    <w:bookmarkStart w:id="39" w:name="data-analysis"/>
    <w:p>
      <w:pPr>
        <w:pStyle w:val="Heading1"/>
      </w:pPr>
      <w:r>
        <w:rPr>
          <w:rStyle w:val="SectionNumber"/>
        </w:rPr>
        <w:t xml:space="preserve">3</w:t>
      </w:r>
      <w:r>
        <w:tab/>
      </w:r>
      <w:r>
        <w:t xml:space="preserve">Data analysis</w:t>
      </w:r>
      <w:r>
        <w:t xml:space="preserve"> </w:t>
      </w:r>
    </w:p>
    <w:bookmarkStart w:id="35" w:name="X00bea2302c17dcc2e5dd5ec7617068a4ae7a826"/>
    <w:p>
      <w:pPr>
        <w:pStyle w:val="Heading2"/>
      </w:pPr>
      <w:r>
        <w:rPr>
          <w:rStyle w:val="SectionNumber"/>
        </w:rPr>
        <w:t xml:space="preserve">3.1</w:t>
      </w:r>
      <w:r>
        <w:tab/>
      </w:r>
      <w:r>
        <w:t xml:space="preserve">Analysis objectives and preliminary data analysis</w:t>
      </w:r>
    </w:p>
    <w:p>
      <w:pPr>
        <w:pStyle w:val="FirstParagraph"/>
      </w:pPr>
      <w:r>
        <w:t xml:space="preserve">Different analyses were conducted to test how the number of bites in each feeding episode (</w:t>
      </w:r>
      <w:r>
        <w:rPr>
          <w:rStyle w:val="VerbatimChar"/>
        </w:rPr>
        <w:t xml:space="preserve">nbites</w:t>
      </w:r>
      <w:r>
        <w:t xml:space="preserve">) of</w:t>
      </w:r>
      <w:r>
        <w:t xml:space="preserve"> </w:t>
      </w:r>
      <w:r>
        <w:rPr>
          <w:iCs/>
          <w:i/>
        </w:rPr>
        <w:t xml:space="preserve">Poecilia sphenops</w:t>
      </w:r>
      <w:r>
        <w:t xml:space="preserve"> </w:t>
      </w:r>
      <w:r>
        <w:t xml:space="preserve">changed under different experimental conditions. The number of bites has been considered as a proxy of</w:t>
      </w:r>
      <w:r>
        <w:t xml:space="preserve"> </w:t>
      </w:r>
      <w:r>
        <w:rPr>
          <w:iCs/>
          <w:i/>
        </w:rPr>
        <w:t xml:space="preserve">P. sphenops</w:t>
      </w:r>
      <w:r>
        <w:t xml:space="preserve"> </w:t>
      </w:r>
      <w:r>
        <w:t xml:space="preserve">ingestion rate</w:t>
      </w:r>
      <w:r>
        <w:t xml:space="preserve"> </w:t>
      </w:r>
      <w:r>
        <w:t xml:space="preserve">(Longo et al., 2019; Nunes et al., 2021)</w:t>
      </w:r>
      <w:r>
        <w:t xml:space="preserve"> </w:t>
      </w:r>
      <w:r>
        <w:t xml:space="preserve">since foraging behaviour, which includes the frequency and intensity of feeding actions, directly affects its ability to exploit resources</w:t>
      </w:r>
      <w:r>
        <w:t xml:space="preserve"> </w:t>
      </w:r>
      <w:r>
        <w:t xml:space="preserve">(Cozzoli et al., 2022)</w:t>
      </w:r>
      <w:r>
        <w:t xml:space="preserve">. These analyses used a combination of step-wise regression, box plots, ANOVA, and ANCOVA to investigate patch preferences, temperature effects on bite rate, and differences in behaviour between the sexes. All box plots were realised using the</w:t>
      </w:r>
      <w:r>
        <w:t xml:space="preserve"> </w:t>
      </w:r>
      <w:r>
        <w:rPr>
          <w:rStyle w:val="VerbatimChar"/>
        </w:rPr>
        <w:t xml:space="preserve">fish_box()</w:t>
      </w:r>
      <w:r>
        <w:t xml:space="preserve"> </w:t>
      </w:r>
      <w:r>
        <w:t xml:space="preserve">function, which generates a series of box plots to analyse how the dependent y-variable varies with the independent x-variable, grouped by an additional categorical variable, z (</w:t>
      </w:r>
      <w:r>
        <w:rPr>
          <w:rStyle w:val="VerbatimChar"/>
        </w:rPr>
        <w:t xml:space="preserve">x_val~y_val*z_val</w:t>
      </w:r>
      <w:r>
        <w:t xml:space="preserve">, see Table</w:t>
      </w:r>
      <w:r>
        <w:t xml:space="preserve"> </w:t>
      </w:r>
      <w:r>
        <w:t xml:space="preserve">). This binning allows visual comparison of the y-variable distributions across different x-value ranges and among the groups defined by z. A separate box plot is generated for each unique value in the column specified (</w:t>
      </w:r>
      <w:r>
        <w:rPr>
          <w:rStyle w:val="VerbatimChar"/>
        </w:rPr>
        <w:t xml:space="preserve">single_run</w:t>
      </w:r>
      <w:r>
        <w:t xml:space="preserve">, see Table</w:t>
      </w:r>
      <w:r>
        <w:t xml:space="preserve"> </w:t>
      </w:r>
      <w:r>
        <w:t xml:space="preserve">), allowing multiple plots to be generated simultaneously and compiled into a single PDF, facilitating an intuitive comparison of y-distributions across x-ranges and divided into z-groups.</w:t>
      </w:r>
    </w:p>
    <w:p>
      <w:pPr>
        <w:pStyle w:val="BodyText"/>
      </w:pPr>
      <w:r>
        <w:t xml:space="preserve">A bidirectional stepwise regression was performed as a preliminary assessment for the selection of the most significant variables and interactions, testing at each step for variables to be included or excluded depending on the most statistically significant improvement of the fit. This allowed the identification of the most influential predictors of the response variable</w:t>
      </w:r>
      <w:r>
        <w:t xml:space="preserve"> </w:t>
      </w:r>
      <w:r>
        <w:rPr>
          <w:rStyle w:val="VerbatimChar"/>
        </w:rPr>
        <w:t xml:space="preserve">nbites</w:t>
      </w:r>
      <w:r>
        <w:t xml:space="preserve">, guiding the following analyses.</w:t>
      </w:r>
    </w:p>
    <w:bookmarkEnd w:id="35"/>
    <w:bookmarkStart w:id="36" w:name="X85039f3c55e2ceebfcc3094861572f75cdd6883"/>
    <w:p>
      <w:pPr>
        <w:pStyle w:val="Heading2"/>
      </w:pPr>
      <w:r>
        <w:rPr>
          <w:rStyle w:val="SectionNumber"/>
        </w:rPr>
        <w:t xml:space="preserve">3.2</w:t>
      </w:r>
      <w:r>
        <w:tab/>
      </w:r>
      <w:r>
        <w:t xml:space="preserve">Patch preferences and their influence by sex and temperature</w:t>
      </w:r>
    </w:p>
    <w:p>
      <w:pPr>
        <w:pStyle w:val="FirstParagraph"/>
      </w:pPr>
      <w:r>
        <w:t xml:space="preserve">The first step was to examine patch preference. A box plot (</w:t>
      </w:r>
      <w:r>
        <w:rPr>
          <w:rStyle w:val="VerbatimChar"/>
        </w:rPr>
        <w:t xml:space="preserve">nbites ~ patch * cut_entrance</w:t>
      </w:r>
      <w:r>
        <w:t xml:space="preserve">) was used to observe how the number of bites for each feeding episode changed in the two patches. In addition, an ANCOVA (</w:t>
      </w:r>
      <w:r>
        <w:rPr>
          <w:rStyle w:val="VerbatimChar"/>
        </w:rPr>
        <w:t xml:space="preserve">nbites ~ patch * time</w:t>
      </w:r>
      <w:r>
        <w:t xml:space="preserve">) model was used with</w:t>
      </w:r>
      <w:r>
        <w:t xml:space="preserve"> </w:t>
      </w:r>
      <w:r>
        <w:rPr>
          <w:rStyle w:val="VerbatimChar"/>
        </w:rPr>
        <w:t xml:space="preserve">patch</w:t>
      </w:r>
      <w:r>
        <w:t xml:space="preserve"> </w:t>
      </w:r>
      <w:r>
        <w:t xml:space="preserve">as the categorical variable and</w:t>
      </w:r>
      <w:r>
        <w:t xml:space="preserve"> </w:t>
      </w:r>
      <w:r>
        <w:rPr>
          <w:rStyle w:val="VerbatimChar"/>
        </w:rPr>
        <w:t xml:space="preserve">time</w:t>
      </w:r>
      <w:r>
        <w:t xml:space="preserve"> </w:t>
      </w:r>
      <w:r>
        <w:t xml:space="preserve">as a continuous covariate. This interaction ANCOVA examines whether the preference for patches varied according to time in a significant way and the combined effect that they have on bite rate.</w:t>
      </w:r>
    </w:p>
    <w:p>
      <w:pPr>
        <w:pStyle w:val="BodyText"/>
      </w:pPr>
      <w:r>
        <w:t xml:space="preserve">Differences in behavior between the sexes were then analysed using separate box plots for males and females., showing the distribution of the number of bites for each feeding episode in the different patches and time intervals (</w:t>
      </w:r>
      <w:r>
        <w:rPr>
          <w:rStyle w:val="VerbatimChar"/>
        </w:rPr>
        <w:t xml:space="preserve">nbites ~ patch * cut_entrance</w:t>
      </w:r>
      <w:r>
        <w:t xml:space="preserve">,</w:t>
      </w:r>
      <w:r>
        <w:t xml:space="preserve"> </w:t>
      </w:r>
      <w:r>
        <w:rPr>
          <w:rStyle w:val="VerbatimChar"/>
        </w:rPr>
        <w:t xml:space="preserve">single_run="sex"</w:t>
      </w:r>
      <w:r>
        <w:t xml:space="preserve">), which made it possible to visualise any differences in patch preference between the sexes.</w:t>
      </w:r>
    </w:p>
    <w:p>
      <w:pPr>
        <w:pStyle w:val="BodyText"/>
      </w:pPr>
      <w:r>
        <w:t xml:space="preserve">The analysis then considered the effect of temperature on feeding behaviour. A box plot was generated to observe how the number of bites in each feeding episode varied with temperature and time intervals (</w:t>
      </w:r>
      <w:r>
        <w:rPr>
          <w:rStyle w:val="VerbatimChar"/>
        </w:rPr>
        <w:t xml:space="preserve">nbites ~ temperature * cut_entrance</w:t>
      </w:r>
      <w:r>
        <w:t xml:space="preserve">). Next, a one-way ANOVA (</w:t>
      </w:r>
      <w:r>
        <w:rPr>
          <w:rStyle w:val="VerbatimChar"/>
        </w:rPr>
        <w:t xml:space="preserve">nbites ~ temperature</w:t>
      </w:r>
      <w:r>
        <w:t xml:space="preserve">) was performed to test whether the categorical variable</w:t>
      </w:r>
      <w:r>
        <w:t xml:space="preserve"> </w:t>
      </w:r>
      <w:r>
        <w:rPr>
          <w:rStyle w:val="VerbatimChar"/>
        </w:rPr>
        <w:t xml:space="preserve">temperature</w:t>
      </w:r>
      <w:r>
        <w:t xml:space="preserve"> </w:t>
      </w:r>
      <w:r>
        <w:t xml:space="preserve">had a significant effect on the number of bites, considering only the main effect of temperature on</w:t>
      </w:r>
      <w:r>
        <w:t xml:space="preserve"> </w:t>
      </w:r>
      <w:r>
        <w:rPr>
          <w:rStyle w:val="VerbatimChar"/>
        </w:rPr>
        <w:t xml:space="preserve">nbites</w:t>
      </w:r>
      <w:r>
        <w:t xml:space="preserve">.</w:t>
      </w:r>
    </w:p>
    <w:p>
      <w:pPr>
        <w:pStyle w:val="BodyText"/>
      </w:pPr>
      <w:r>
        <w:t xml:space="preserve">To explore how temperature might influence patch preference, two box plots for each patch were generated, showing how the number of bites in each feeding episode changed during time intervals in the different treatment temperatures (</w:t>
      </w:r>
      <w:r>
        <w:rPr>
          <w:rStyle w:val="VerbatimChar"/>
        </w:rPr>
        <w:t xml:space="preserve">nbites ~ temperature * cut_entrance</w:t>
      </w:r>
      <w:r>
        <w:t xml:space="preserve">,</w:t>
      </w:r>
      <w:r>
        <w:t xml:space="preserve"> </w:t>
      </w:r>
      <w:r>
        <w:rPr>
          <w:rStyle w:val="VerbatimChar"/>
        </w:rPr>
        <w:t xml:space="preserve">single_run="patch"</w:t>
      </w:r>
      <w:r>
        <w:t xml:space="preserve">), and how this may affect the foraging behaviour in the two patches differently. In addition, a two-way ANOVA with interaction (</w:t>
      </w:r>
      <w:r>
        <w:rPr>
          <w:rStyle w:val="VerbatimChar"/>
        </w:rPr>
        <w:t xml:space="preserve">nbites ~ patch * temperature</w:t>
      </w:r>
      <w:r>
        <w:t xml:space="preserve">) was performed to examine the combined effect of the categorical variables</w:t>
      </w:r>
      <w:r>
        <w:t xml:space="preserve"> </w:t>
      </w:r>
      <w:r>
        <w:rPr>
          <w:rStyle w:val="VerbatimChar"/>
        </w:rPr>
        <w:t xml:space="preserve">patch</w:t>
      </w:r>
      <w:r>
        <w:t xml:space="preserve"> </w:t>
      </w:r>
      <w:r>
        <w:t xml:space="preserve">and</w:t>
      </w:r>
      <w:r>
        <w:t xml:space="preserve"> </w:t>
      </w:r>
      <w:r>
        <w:rPr>
          <w:rStyle w:val="VerbatimChar"/>
        </w:rPr>
        <w:t xml:space="preserve">temperature</w:t>
      </w:r>
      <w:r>
        <w:t xml:space="preserve"> </w:t>
      </w:r>
      <w:r>
        <w:t xml:space="preserve">on the numerical variable</w:t>
      </w:r>
      <w:r>
        <w:t xml:space="preserve"> </w:t>
      </w:r>
      <w:r>
        <w:rPr>
          <w:rStyle w:val="VerbatimChar"/>
        </w:rPr>
        <w:t xml:space="preserve">nbites</w:t>
      </w:r>
      <w:r>
        <w:t xml:space="preserve">, testing whether patch preference varied with temperature.</w:t>
      </w:r>
    </w:p>
    <w:bookmarkEnd w:id="36"/>
    <w:bookmarkStart w:id="37" w:name="X425d448ec07c01d43c4d796082243d26bc14f87"/>
    <w:p>
      <w:pPr>
        <w:pStyle w:val="Heading2"/>
      </w:pPr>
      <w:r>
        <w:rPr>
          <w:rStyle w:val="SectionNumber"/>
        </w:rPr>
        <w:t xml:space="preserve">3.3</w:t>
      </w:r>
      <w:r>
        <w:tab/>
      </w:r>
      <w:r>
        <w:t xml:space="preserve">Combined effects of sex and temperature on bite rate</w:t>
      </w:r>
    </w:p>
    <w:p>
      <w:pPr>
        <w:pStyle w:val="FirstParagraph"/>
      </w:pPr>
      <w:r>
        <w:t xml:space="preserve">The last analysis examined the relationship between sex and temperature to understand whether these factors had a combined effect on feeding behaviour. To do so, separate box plots were generated for males and females showing the variation in the number of bites in each feeding episode as a function of temperature and time interval (</w:t>
      </w:r>
      <w:r>
        <w:rPr>
          <w:rStyle w:val="VerbatimChar"/>
        </w:rPr>
        <w:t xml:space="preserve">nbites ~ temperature * cut_entrance</w:t>
      </w:r>
      <w:r>
        <w:t xml:space="preserve">,</w:t>
      </w:r>
      <w:r>
        <w:t xml:space="preserve"> </w:t>
      </w:r>
      <w:r>
        <w:rPr>
          <w:rStyle w:val="VerbatimChar"/>
        </w:rPr>
        <w:t xml:space="preserve">single_run=sex</w:t>
      </w:r>
      <w:r>
        <w:t xml:space="preserve">). A two-way ANOVA with interaction (</w:t>
      </w:r>
      <w:r>
        <w:rPr>
          <w:rStyle w:val="VerbatimChar"/>
        </w:rPr>
        <w:t xml:space="preserve">nbites ~ sex* temperature</w:t>
      </w:r>
      <w:r>
        <w:t xml:space="preserve">) was then performed to test the combined effect of the categorical variables</w:t>
      </w:r>
      <w:r>
        <w:t xml:space="preserve"> </w:t>
      </w:r>
      <w:r>
        <w:rPr>
          <w:rStyle w:val="VerbatimChar"/>
        </w:rPr>
        <w:t xml:space="preserve">sex</w:t>
      </w:r>
      <w:r>
        <w:t xml:space="preserve"> </w:t>
      </w:r>
      <w:r>
        <w:t xml:space="preserve">and</w:t>
      </w:r>
      <w:r>
        <w:t xml:space="preserve"> </w:t>
      </w:r>
      <w:r>
        <w:rPr>
          <w:rStyle w:val="VerbatimChar"/>
        </w:rPr>
        <w:t xml:space="preserve">temperature</w:t>
      </w:r>
      <w:r>
        <w:t xml:space="preserve"> </w:t>
      </w:r>
      <w:r>
        <w:t xml:space="preserve">on the numerical variable</w:t>
      </w:r>
      <w:r>
        <w:t xml:space="preserve"> </w:t>
      </w:r>
      <w:r>
        <w:rPr>
          <w:rStyle w:val="VerbatimChar"/>
        </w:rPr>
        <w:t xml:space="preserve">nbites</w:t>
      </w:r>
      <w:r>
        <w:t xml:space="preserve">. Next, a Tukey HSD post-hoc test was used to identify specific differences between groups as a function of sex and temperature combinations. Finally, an interaction plot was generated using the ggplot2 R package</w:t>
      </w:r>
      <w:r>
        <w:t xml:space="preserve"> </w:t>
      </w:r>
      <w:r>
        <w:t xml:space="preserve">(Wickham, 2016)</w:t>
      </w:r>
      <w:r>
        <w:t xml:space="preserve"> </w:t>
      </w:r>
      <w:r>
        <w:t xml:space="preserve">to show how the effect of temperature on the number of bites in each feeding episode varied between males and females.</w:t>
      </w:r>
    </w:p>
    <w:bookmarkEnd w:id="37"/>
    <w:bookmarkStart w:id="38" w:name="appendix"/>
    <w:p>
      <w:pPr>
        <w:pStyle w:val="Heading2"/>
      </w:pPr>
      <w:r>
        <w:rPr>
          <w:rStyle w:val="SectionNumber"/>
        </w:rPr>
        <w:t xml:space="preserve">3.4</w:t>
      </w:r>
      <w:r>
        <w:tab/>
      </w:r>
      <w:r>
        <w:t xml:space="preserve">Appendix</w:t>
      </w:r>
    </w:p>
    <w:p>
      <w:pPr>
        <w:pStyle w:val="FirstParagraph"/>
      </w:pPr>
      <w:r>
        <w:rPr>
          <w:iCs/>
          <w:i/>
        </w:rPr>
        <w:t xml:space="preserve">Software</w:t>
      </w:r>
      <w:r>
        <w:t xml:space="preserve">: All analyses were performed within the R free software environment</w:t>
      </w:r>
      <w:r>
        <w:t xml:space="preserve"> </w:t>
      </w:r>
      <w:r>
        <w:t xml:space="preserve">(R Core Team, 2024)</w:t>
      </w:r>
      <w:r>
        <w:t xml:space="preserve"> </w:t>
      </w:r>
      <w:r>
        <w:t xml:space="preserve">using the packages dplyr</w:t>
      </w:r>
      <w:r>
        <w:t xml:space="preserve"> </w:t>
      </w:r>
      <w:r>
        <w:t xml:space="preserve">(Wickham et al., 2023)</w:t>
      </w:r>
      <w:r>
        <w:t xml:space="preserve"> </w:t>
      </w:r>
      <w:r>
        <w:t xml:space="preserve">and ggplot2</w:t>
      </w:r>
      <w:r>
        <w:t xml:space="preserve"> </w:t>
      </w:r>
      <w:r>
        <w:t xml:space="preserve">(Wickham, 2016)</w:t>
      </w:r>
      <w:r>
        <w:t xml:space="preserve">.</w:t>
      </w:r>
    </w:p>
    <w:p>
      <w:pPr>
        <w:pStyle w:val="BodyText"/>
      </w:pPr>
      <w:r>
        <w:rPr>
          <w:iCs/>
          <w:i/>
        </w:rPr>
        <w:t xml:space="preserve">Data and code availability</w:t>
      </w:r>
      <w:r>
        <w:t xml:space="preserve">: Data and R codes are publicly available in GitHub Repository [LINK HERE].</w:t>
      </w:r>
    </w:p>
    <w:p>
      <w:r>
        <w:br w:type="page"/>
      </w:r>
    </w:p>
    <w:bookmarkEnd w:id="38"/>
    <w:bookmarkEnd w:id="39"/>
    <w:bookmarkStart w:id="59" w:name="results"/>
    <w:p>
      <w:pPr>
        <w:pStyle w:val="Heading1"/>
      </w:pPr>
      <w:r>
        <w:rPr>
          <w:rStyle w:val="SectionNumber"/>
        </w:rPr>
        <w:t xml:space="preserve">4</w:t>
      </w:r>
      <w:r>
        <w:tab/>
      </w:r>
      <w:r>
        <w:t xml:space="preserve">Results</w:t>
      </w:r>
    </w:p>
    <w:bookmarkStart w:id="43" w:name="patch-preferences-through-time"/>
    <w:p>
      <w:pPr>
        <w:pStyle w:val="Heading2"/>
      </w:pPr>
      <w:r>
        <w:rPr>
          <w:rStyle w:val="SectionNumber"/>
        </w:rPr>
        <w:t xml:space="preserve">4.1</w:t>
      </w:r>
      <w:r>
        <w:tab/>
      </w:r>
      <w:r>
        <w:t xml:space="preserve">Patch preferences through time</w:t>
      </w:r>
      <w:r>
        <w:t xml:space="preserve"> </w:t>
      </w:r>
    </w:p>
    <w:p>
      <w:pPr>
        <w:pStyle w:val="FirstParagraph"/>
      </w:pPr>
      <w:r>
        <w:t xml:space="preserve">The test results described in chapter</w:t>
      </w:r>
      <w:r>
        <w:t xml:space="preserve"> </w:t>
      </w:r>
      <w:r>
        <w:t xml:space="preserve"> </w:t>
      </w:r>
      <w:r>
        <w:t xml:space="preserve">showed that for</w:t>
      </w:r>
      <w:r>
        <w:t xml:space="preserve"> </w:t>
      </w:r>
      <w:r>
        <w:rPr>
          <w:iCs/>
          <w:i/>
        </w:rPr>
        <w:t xml:space="preserve">Poecilia sphenops</w:t>
      </w:r>
      <w:r>
        <w:t xml:space="preserve"> </w:t>
      </w:r>
      <w:r>
        <w:t xml:space="preserve">there’s a significant patch preference (ANCOVA,</w:t>
      </w:r>
      <w:r>
        <w:t xml:space="preserve"> </w:t>
      </w:r>
      <m:oMath>
        <m:r>
          <m:t>F</m:t>
        </m:r>
        <m:d>
          <m:dPr>
            <m:begChr m:val="("/>
            <m:endChr m:val=")"/>
            <m:sepChr m:val=""/>
            <m:grow/>
          </m:dPr>
          <m:e>
            <m:r>
              <m:t>1</m:t>
            </m:r>
            <m:r>
              <m:rPr>
                <m:sty m:val="p"/>
              </m:rPr>
              <m:t>,</m:t>
            </m:r>
            <m:r>
              <m:t>2051</m:t>
            </m:r>
          </m:e>
        </m:d>
        <m:r>
          <m:rPr>
            <m:sty m:val="p"/>
          </m:rPr>
          <m:t>=</m:t>
        </m:r>
        <m:r>
          <m:t>54.4</m:t>
        </m:r>
        <m:r>
          <m:rPr>
            <m:sty m:val="p"/>
          </m:rPr>
          <m:t>,</m:t>
        </m:r>
        <m:r>
          <m:t>p</m:t>
        </m:r>
        <m:r>
          <m:rPr>
            <m:sty m:val="p"/>
          </m:rPr>
          <m:t>&lt;</m:t>
        </m:r>
        <m:r>
          <m:t>0.001</m:t>
        </m:r>
      </m:oMath>
      <w:r>
        <w:t xml:space="preserve">) for the high resource patch (patch H) over the low resource patch (patch L). In particular, the number of bites in each feeding episode tended to be higher in the H patch at the beginning of the observation period and decreased over time (ANCOVA,</w:t>
      </w:r>
      <w:r>
        <w:t xml:space="preserve"> </w:t>
      </w:r>
      <m:oMath>
        <m:r>
          <m:t>F</m:t>
        </m:r>
        <m:d>
          <m:dPr>
            <m:begChr m:val="("/>
            <m:endChr m:val=")"/>
            <m:sepChr m:val=""/>
            <m:grow/>
          </m:dPr>
          <m:e>
            <m:r>
              <m:t>1</m:t>
            </m:r>
            <m:r>
              <m:rPr>
                <m:sty m:val="p"/>
              </m:rPr>
              <m:t>,</m:t>
            </m:r>
            <m:r>
              <m:t>2051</m:t>
            </m:r>
          </m:e>
        </m:d>
        <m:r>
          <m:rPr>
            <m:sty m:val="p"/>
          </m:rPr>
          <m:t>=</m:t>
        </m:r>
        <m:r>
          <m:t>13.49</m:t>
        </m:r>
        <m:r>
          <m:rPr>
            <m:sty m:val="p"/>
          </m:rPr>
          <m:t>,</m:t>
        </m:r>
        <m:r>
          <m:t>p</m:t>
        </m:r>
        <m:r>
          <m:rPr>
            <m:sty m:val="p"/>
          </m:rPr>
          <m:t>&lt;</m:t>
        </m:r>
        <m:r>
          <m:t>0.001</m:t>
        </m:r>
      </m:oMath>
      <w:r>
        <w:t xml:space="preserve">), showing a clear upper quantile boundary trend (Fig.</w:t>
      </w:r>
      <w:r>
        <w:t xml:space="preserve"> </w:t>
      </w:r>
      <w:r>
        <w:t xml:space="preserve">, Table</w:t>
      </w:r>
      <w:r>
        <w:t xml:space="preserve"> </w:t>
      </w:r>
      <w:r>
        <w:t xml:space="preserve">). This pattern suggests a possible saturation of the energy gain required, with a drop in ingestion rate and consequentially decrease of interest in the H patch over time, supporting the hypothesis that permanence in a patch, and thus the perceived resources availability over time, is a determining factor in foraging behaviour.</w:t>
      </w:r>
    </w:p>
    <w:p>
      <w:pPr>
        <w:pStyle w:val="TableCaption"/>
      </w:pPr>
      <w:r>
        <w:t xml:space="preserve">ANCOVA test results show a significant effect of patch type and time on the number of bites in each feeding episode.</w:t>
      </w:r>
      <w:r>
        <w:t xml:space="preserve"> </w:t>
      </w:r>
    </w:p>
    <w:tbl>
      <w:tblPr>
        <w:tblStyle w:val="Table"/>
        <w:tblW w:type="pct" w:w="4514"/>
        <w:tblLook w:firstRow="1" w:lastRow="0" w:firstColumn="0" w:lastColumn="0" w:noHBand="0" w:noVBand="0" w:val="0020"/>
        <w:jc w:val="start"/>
        <w:tblCaption w:val="ANCOVA test results show a significant effect of patch type and time on the number of bites in each feeding episode. "/>
      </w:tblPr>
      <w:tblGrid>
        <w:gridCol w:w="1870"/>
        <w:gridCol w:w="770"/>
        <w:gridCol w:w="990"/>
        <w:gridCol w:w="1100"/>
        <w:gridCol w:w="1100"/>
        <w:gridCol w:w="132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patch</w:t>
            </w:r>
          </w:p>
        </w:tc>
        <w:tc>
          <w:tcPr/>
          <w:p>
            <w:pPr>
              <w:pStyle w:val="Compact"/>
              <w:jc w:val="center"/>
            </w:pPr>
            <w:r>
              <w:t xml:space="preserve">1</w:t>
            </w:r>
          </w:p>
        </w:tc>
        <w:tc>
          <w:tcPr/>
          <w:p>
            <w:pPr>
              <w:pStyle w:val="Compact"/>
              <w:jc w:val="center"/>
            </w:pPr>
            <w:r>
              <w:t xml:space="preserve">9038</w:t>
            </w:r>
          </w:p>
        </w:tc>
        <w:tc>
          <w:tcPr/>
          <w:p>
            <w:pPr>
              <w:pStyle w:val="Compact"/>
              <w:jc w:val="center"/>
            </w:pPr>
            <w:r>
              <w:t xml:space="preserve">9038</w:t>
            </w:r>
          </w:p>
        </w:tc>
        <w:tc>
          <w:tcPr/>
          <w:p>
            <w:pPr>
              <w:pStyle w:val="Compact"/>
              <w:jc w:val="center"/>
            </w:pPr>
            <w:r>
              <w:t xml:space="preserve">54.4</w:t>
            </w:r>
          </w:p>
        </w:tc>
        <w:tc>
          <w:tcPr/>
          <w:p>
            <w:pPr>
              <w:pStyle w:val="Compact"/>
              <w:jc w:val="center"/>
            </w:pPr>
            <w:r>
              <w:t xml:space="preserve">2.363e-13</w:t>
            </w:r>
          </w:p>
        </w:tc>
      </w:tr>
      <w:tr>
        <w:tc>
          <w:tcPr/>
          <w:p>
            <w:pPr>
              <w:pStyle w:val="Compact"/>
              <w:jc w:val="center"/>
            </w:pPr>
            <w:r>
              <w:rPr>
                <w:bCs/>
                <w:b/>
              </w:rPr>
              <w:t xml:space="preserve">time</w:t>
            </w:r>
          </w:p>
        </w:tc>
        <w:tc>
          <w:tcPr/>
          <w:p>
            <w:pPr>
              <w:pStyle w:val="Compact"/>
              <w:jc w:val="center"/>
            </w:pPr>
            <w:r>
              <w:t xml:space="preserve">1</w:t>
            </w:r>
          </w:p>
        </w:tc>
        <w:tc>
          <w:tcPr/>
          <w:p>
            <w:pPr>
              <w:pStyle w:val="Compact"/>
              <w:jc w:val="center"/>
            </w:pPr>
            <w:r>
              <w:t xml:space="preserve">2242</w:t>
            </w:r>
          </w:p>
        </w:tc>
        <w:tc>
          <w:tcPr/>
          <w:p>
            <w:pPr>
              <w:pStyle w:val="Compact"/>
              <w:jc w:val="center"/>
            </w:pPr>
            <w:r>
              <w:t xml:space="preserve">2242</w:t>
            </w:r>
          </w:p>
        </w:tc>
        <w:tc>
          <w:tcPr/>
          <w:p>
            <w:pPr>
              <w:pStyle w:val="Compact"/>
              <w:jc w:val="center"/>
            </w:pPr>
            <w:r>
              <w:t xml:space="preserve">13.49</w:t>
            </w:r>
          </w:p>
        </w:tc>
        <w:tc>
          <w:tcPr/>
          <w:p>
            <w:pPr>
              <w:pStyle w:val="Compact"/>
              <w:jc w:val="center"/>
            </w:pPr>
            <w:r>
              <w:t xml:space="preserve">0.0002454</w:t>
            </w:r>
          </w:p>
        </w:tc>
      </w:tr>
      <w:tr>
        <w:tc>
          <w:tcPr/>
          <w:p>
            <w:pPr>
              <w:pStyle w:val="Compact"/>
              <w:jc w:val="center"/>
            </w:pPr>
            <w:r>
              <w:rPr>
                <w:bCs/>
                <w:b/>
              </w:rPr>
              <w:t xml:space="preserve">patch:time</w:t>
            </w:r>
          </w:p>
        </w:tc>
        <w:tc>
          <w:tcPr/>
          <w:p>
            <w:pPr>
              <w:pStyle w:val="Compact"/>
              <w:jc w:val="center"/>
            </w:pPr>
            <w:r>
              <w:t xml:space="preserve">1</w:t>
            </w:r>
          </w:p>
        </w:tc>
        <w:tc>
          <w:tcPr/>
          <w:p>
            <w:pPr>
              <w:pStyle w:val="Compact"/>
              <w:jc w:val="center"/>
            </w:pPr>
            <w:r>
              <w:t xml:space="preserve">240.6</w:t>
            </w:r>
          </w:p>
        </w:tc>
        <w:tc>
          <w:tcPr/>
          <w:p>
            <w:pPr>
              <w:pStyle w:val="Compact"/>
              <w:jc w:val="center"/>
            </w:pPr>
            <w:r>
              <w:t xml:space="preserve">240.6</w:t>
            </w:r>
          </w:p>
        </w:tc>
        <w:tc>
          <w:tcPr/>
          <w:p>
            <w:pPr>
              <w:pStyle w:val="Compact"/>
              <w:jc w:val="center"/>
            </w:pPr>
            <w:r>
              <w:t xml:space="preserve">1.448</w:t>
            </w:r>
          </w:p>
        </w:tc>
        <w:tc>
          <w:tcPr/>
          <w:p>
            <w:pPr>
              <w:pStyle w:val="Compact"/>
              <w:jc w:val="center"/>
            </w:pPr>
            <w:r>
              <w:t xml:space="preserve">0.229</w:t>
            </w:r>
          </w:p>
        </w:tc>
      </w:tr>
      <w:tr>
        <w:tc>
          <w:tcPr/>
          <w:p>
            <w:pPr>
              <w:pStyle w:val="Compact"/>
              <w:jc w:val="center"/>
            </w:pPr>
            <w:r>
              <w:rPr>
                <w:bCs/>
                <w:b/>
              </w:rPr>
              <w:t xml:space="preserve">Residuals</w:t>
            </w:r>
          </w:p>
        </w:tc>
        <w:tc>
          <w:tcPr/>
          <w:p>
            <w:pPr>
              <w:pStyle w:val="Compact"/>
              <w:jc w:val="center"/>
            </w:pPr>
            <w:r>
              <w:t xml:space="preserve">2051</w:t>
            </w:r>
          </w:p>
        </w:tc>
        <w:tc>
          <w:tcPr/>
          <w:p>
            <w:pPr>
              <w:pStyle w:val="Compact"/>
              <w:jc w:val="center"/>
            </w:pPr>
            <w:r>
              <w:t xml:space="preserve">340758</w:t>
            </w:r>
          </w:p>
        </w:tc>
        <w:tc>
          <w:tcPr/>
          <w:p>
            <w:pPr>
              <w:pStyle w:val="Compact"/>
              <w:jc w:val="center"/>
            </w:pPr>
            <w:r>
              <w:t xml:space="preserve">166.1</w:t>
            </w:r>
          </w:p>
        </w:tc>
        <w:tc>
          <w:tcPr/>
          <w:p>
            <w:pPr>
              <w:pStyle w:val="Compact"/>
              <w:jc w:val="center"/>
            </w:pPr>
            <w:r>
              <w:t xml:space="preserve">NA</w:t>
            </w:r>
          </w:p>
        </w:tc>
        <w:tc>
          <w:tcPr/>
          <w:p>
            <w:pPr>
              <w:pStyle w:val="Compact"/>
              <w:jc w:val="center"/>
            </w:pPr>
            <w:r>
              <w:t xml:space="preserve">NA</w:t>
            </w:r>
          </w:p>
        </w:tc>
      </w:tr>
    </w:tbl>
    <w:p>
      <w:pPr>
        <w:pStyle w:val="CaptionedFigure"/>
      </w:pPr>
      <w:r>
        <w:drawing>
          <wp:inline>
            <wp:extent cx="5334000" cy="4267200"/>
            <wp:effectExtent b="0" l="0" r="0" t="0"/>
            <wp:docPr descr="The box plot shows a significant patch preference for the high resource patch (patch H) over the low resource patch (patch L). In particular, the number of bites in each feeding episode tended to be higher in the H patch at the beginning of the observation period and decreased over time, showing a clear upper quantile boundary trend. " title="" id="41" name="Picture"/>
            <a:graphic>
              <a:graphicData uri="http://schemas.openxmlformats.org/drawingml/2006/picture">
                <pic:pic>
                  <pic:nvPicPr>
                    <pic:cNvPr descr="/Users/saraventruti/Library/CloudStorage/OneDrive-UniversitàdelSalento/EBES/Thesis/THESIS/OUTPUT/PROVA_PACCHETTI_files/figure-docx/patch_boxplot-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The box plot shows a significant patch preference for the high resource patch (patch H) over the low resource patch (patch L). In particular, the number of bites in each feeding episode tended to be higher in the H patch at the beginning of the observation period and decreased over time, showing a clear upper quantile boundary trend.</w:t>
      </w:r>
      <w:r>
        <w:t xml:space="preserve"> </w:t>
      </w:r>
    </w:p>
    <w:bookmarkEnd w:id="43"/>
    <w:bookmarkStart w:id="50" w:name="Xc7da4390e123105e6e1b2e78958d9549cf6ea9f"/>
    <w:p>
      <w:pPr>
        <w:pStyle w:val="Heading2"/>
      </w:pPr>
      <w:r>
        <w:rPr>
          <w:rStyle w:val="SectionNumber"/>
        </w:rPr>
        <w:t xml:space="preserve">4.2</w:t>
      </w:r>
      <w:r>
        <w:tab/>
      </w:r>
      <w:r>
        <w:t xml:space="preserve">Effects of temperature on foraging behaviour</w:t>
      </w:r>
    </w:p>
    <w:p>
      <w:pPr>
        <w:pStyle w:val="FirstParagraph"/>
      </w:pPr>
      <w:r>
        <w:t xml:space="preserve">To properly quantify the effect of temperature on foraging behaviour, several parameters were taken into account. The number of bites for each feeding episode increases significantly when the temperature is higher (</w:t>
      </w:r>
      <m:oMath>
        <m:r>
          <m:t>β</m:t>
        </m:r>
        <m:r>
          <m:rPr>
            <m:sty m:val="p"/>
          </m:rPr>
          <m:t>=</m:t>
        </m:r>
        <m:r>
          <m:t>10.45</m:t>
        </m:r>
        <m:r>
          <m:rPr>
            <m:sty m:val="p"/>
          </m:rPr>
          <m:t>,</m:t>
        </m:r>
        <m:r>
          <m:t>S</m:t>
        </m:r>
        <m:r>
          <m:t>E</m:t>
        </m:r>
        <m:r>
          <m:rPr>
            <m:sty m:val="p"/>
          </m:rPr>
          <m:t>=</m:t>
        </m:r>
        <m:r>
          <m:t>2.49</m:t>
        </m:r>
        <m:r>
          <m:rPr>
            <m:sty m:val="p"/>
          </m:rPr>
          <m:t>,</m:t>
        </m:r>
        <m:r>
          <m:t>t</m:t>
        </m:r>
        <m:d>
          <m:dPr>
            <m:begChr m:val="("/>
            <m:endChr m:val=")"/>
            <m:sepChr m:val=""/>
            <m:grow/>
          </m:dPr>
          <m:e>
            <m:r>
              <m:t>2039</m:t>
            </m:r>
          </m:e>
        </m:d>
        <m:r>
          <m:rPr>
            <m:sty m:val="p"/>
          </m:rPr>
          <m:t>=</m:t>
        </m:r>
        <m:r>
          <m:t>4.20</m:t>
        </m:r>
        <m:r>
          <m:rPr>
            <m:sty m:val="p"/>
          </m:rPr>
          <m:t>,</m:t>
        </m:r>
        <m:r>
          <m:t>p</m:t>
        </m:r>
        <m:r>
          <m:rPr>
            <m:sty m:val="p"/>
          </m:rPr>
          <m:t>&lt;</m:t>
        </m:r>
        <m:r>
          <m:t>0.001</m:t>
        </m:r>
      </m:oMath>
      <w:r>
        <w:t xml:space="preserve">), especially during the first few minutes of observation (Fig.</w:t>
      </w:r>
      <w:r>
        <w:t xml:space="preserve"> </w:t>
      </w:r>
      <w:r>
        <w:t xml:space="preserve">). This result suggests that</w:t>
      </w:r>
      <w:r>
        <w:t xml:space="preserve"> </w:t>
      </w:r>
      <w:r>
        <w:rPr>
          <w:iCs/>
          <w:i/>
        </w:rPr>
        <w:t xml:space="preserve">P. sphenops</w:t>
      </w:r>
      <w:r>
        <w:t xml:space="preserve"> </w:t>
      </w:r>
      <w:r>
        <w:t xml:space="preserve">may increase its foraging activity at higher temperatures (ANOVA,</w:t>
      </w:r>
      <w:r>
        <w:t xml:space="preserve"> </w:t>
      </w:r>
      <m:oMath>
        <m:r>
          <m:t>F</m:t>
        </m:r>
        <m:d>
          <m:dPr>
            <m:begChr m:val="("/>
            <m:endChr m:val=")"/>
            <m:sepChr m:val=""/>
            <m:grow/>
          </m:dPr>
          <m:e>
            <m:r>
              <m:t>1</m:t>
            </m:r>
            <m:r>
              <m:rPr>
                <m:sty m:val="p"/>
              </m:rPr>
              <m:t>,</m:t>
            </m:r>
            <m:r>
              <m:t>2051</m:t>
            </m:r>
          </m:e>
        </m:d>
        <m:r>
          <m:rPr>
            <m:sty m:val="p"/>
          </m:rPr>
          <m:t>=</m:t>
        </m:r>
        <m:r>
          <m:t>13.49</m:t>
        </m:r>
        <m:r>
          <m:rPr>
            <m:sty m:val="p"/>
          </m:rPr>
          <m:t>,</m:t>
        </m:r>
        <m:r>
          <m:t>p</m:t>
        </m:r>
        <m:r>
          <m:rPr>
            <m:sty m:val="p"/>
          </m:rPr>
          <m:t>&lt;</m:t>
        </m:r>
        <m:r>
          <m:t>0.005</m:t>
        </m:r>
      </m:oMath>
      <w:r>
        <w:t xml:space="preserve">), probably due to an increased metabolic rate that caused an increased energetic requirement (Table</w:t>
      </w:r>
      <w:r>
        <w:t xml:space="preserve"> </w:t>
      </w:r>
      <w:r>
        <w:t xml:space="preserve">). Moreover, at 28°C the fishes bite less in the patch with few resources (</w:t>
      </w:r>
      <m:oMath>
        <m:r>
          <m:t>β</m:t>
        </m:r>
        <m:r>
          <m:rPr>
            <m:sty m:val="p"/>
          </m:rPr>
          <m:t>=</m:t>
        </m:r>
        <m:r>
          <m:rPr>
            <m:sty m:val="p"/>
          </m:rPr>
          <m:t>−</m:t>
        </m:r>
        <m:r>
          <m:t>9.90</m:t>
        </m:r>
        <m:r>
          <m:rPr>
            <m:sty m:val="p"/>
          </m:rPr>
          <m:t>,</m:t>
        </m:r>
        <m:r>
          <m:t>S</m:t>
        </m:r>
        <m:r>
          <m:t>E</m:t>
        </m:r>
        <m:r>
          <m:rPr>
            <m:sty m:val="p"/>
          </m:rPr>
          <m:t>=</m:t>
        </m:r>
        <m:r>
          <m:t>3.42</m:t>
        </m:r>
        <m:r>
          <m:rPr>
            <m:sty m:val="p"/>
          </m:rPr>
          <m:t>,</m:t>
        </m:r>
        <m:r>
          <m:t>t</m:t>
        </m:r>
        <m:d>
          <m:dPr>
            <m:begChr m:val="("/>
            <m:endChr m:val=")"/>
            <m:sepChr m:val=""/>
            <m:grow/>
          </m:dPr>
          <m:e>
            <m:r>
              <m:t>2039</m:t>
            </m:r>
          </m:e>
        </m:d>
        <m:r>
          <m:rPr>
            <m:sty m:val="p"/>
          </m:rPr>
          <m:t>=</m:t>
        </m:r>
        <m:r>
          <m:rPr>
            <m:sty m:val="p"/>
          </m:rPr>
          <m:t>−</m:t>
        </m:r>
        <m:r>
          <m:t>2.89</m:t>
        </m:r>
        <m:r>
          <m:rPr>
            <m:sty m:val="p"/>
          </m:rPr>
          <m:t>,</m:t>
        </m:r>
        <m:r>
          <m:t>p</m:t>
        </m:r>
        <m:r>
          <m:rPr>
            <m:sty m:val="p"/>
          </m:rPr>
          <m:t>&lt;</m:t>
        </m:r>
        <m:r>
          <m:t>0.005</m:t>
        </m:r>
      </m:oMath>
      <w:r>
        <w:t xml:space="preserve">). Thus, the effect of temperature on biting is stronger in patches with higher resources (Fig.</w:t>
      </w:r>
      <w:r>
        <w:t xml:space="preserve"> </w:t>
      </w:r>
      <w:r>
        <w:t xml:space="preserve">). However, no significant interaction was found in the test performed (ANOVA,</w:t>
      </w:r>
      <m:oMath>
        <m:r>
          <m:t>F</m:t>
        </m:r>
        <m:d>
          <m:dPr>
            <m:begChr m:val="("/>
            <m:endChr m:val=")"/>
            <m:sepChr m:val=""/>
            <m:grow/>
          </m:dPr>
          <m:e>
            <m:r>
              <m:t>1</m:t>
            </m:r>
            <m:r>
              <m:rPr>
                <m:sty m:val="p"/>
              </m:rPr>
              <m:t>,</m:t>
            </m:r>
            <m:r>
              <m:t>2051</m:t>
            </m:r>
          </m:e>
        </m:d>
        <m:r>
          <m:rPr>
            <m:sty m:val="p"/>
          </m:rPr>
          <m:t>=</m:t>
        </m:r>
        <m:r>
          <m:t>0.17</m:t>
        </m:r>
        <m:r>
          <m:rPr>
            <m:sty m:val="p"/>
          </m:rPr>
          <m:t>,</m:t>
        </m:r>
        <m:r>
          <m:t>p</m:t>
        </m:r>
        <m:r>
          <m:rPr>
            <m:sty m:val="p"/>
          </m:rPr>
          <m:t>=</m:t>
        </m:r>
        <m:r>
          <m:t>0.68</m:t>
        </m:r>
      </m:oMath>
      <w:r>
        <w:t xml:space="preserve">), as the observed trend maintains a constant proportionality between the variables (Table</w:t>
      </w:r>
      <w:r>
        <w:t xml:space="preserve"> </w:t>
      </w:r>
      <w:r>
        <w:t xml:space="preserve">). This suggests that</w:t>
      </w:r>
      <w:r>
        <w:t xml:space="preserve"> </w:t>
      </w:r>
      <w:r>
        <w:rPr>
          <w:iCs/>
          <w:i/>
        </w:rPr>
        <w:t xml:space="preserve">P. sphenops</w:t>
      </w:r>
      <w:r>
        <w:t xml:space="preserve"> </w:t>
      </w:r>
      <w:r>
        <w:t xml:space="preserve">adapt their foraging choices according to environmental conditions.</w:t>
      </w:r>
    </w:p>
    <w:p>
      <w:pPr>
        <w:pStyle w:val="CaptionedFigure"/>
      </w:pPr>
      <w:r>
        <w:drawing>
          <wp:inline>
            <wp:extent cx="5334000" cy="4267200"/>
            <wp:effectExtent b="0" l="0" r="0" t="0"/>
            <wp:docPr descr="The box plot shows how the number of bites for each feeding episode increases significantly when the temperature is higher, especially during the first few minutes of observation " title="" id="45" name="Picture"/>
            <a:graphic>
              <a:graphicData uri="http://schemas.openxmlformats.org/drawingml/2006/picture">
                <pic:pic>
                  <pic:nvPicPr>
                    <pic:cNvPr descr="/Users/saraventruti/Library/CloudStorage/OneDrive-UniversitàdelSalento/EBES/Thesis/THESIS/OUTPUT/PROVA_PACCHETTI_files/figure-docx/temp_boxplot-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The box plot shows how the number of bites for each feeding episode increases significantly when the temperature is higher, especially during the first few minutes of observation</w:t>
      </w:r>
      <w:r>
        <w:t xml:space="preserve"> </w:t>
      </w:r>
    </w:p>
    <w:p>
      <w:pPr>
        <w:pStyle w:val="CaptionedFigure"/>
      </w:pPr>
      <w:r>
        <w:drawing>
          <wp:inline>
            <wp:extent cx="5334000" cy="1778000"/>
            <wp:effectExtent b="0" l="0" r="0" t="0"/>
            <wp:docPr descr="Box plots describing the different effects of temperature on bite rate in the high resource patch (patch H) and the low resource patch (patch L). The effect of temperature is stronger in patches with higher resources " title="" id="48" name="Picture"/>
            <a:graphic>
              <a:graphicData uri="http://schemas.openxmlformats.org/drawingml/2006/picture">
                <pic:pic>
                  <pic:nvPicPr>
                    <pic:cNvPr descr="/Users/saraventruti/Library/CloudStorage/OneDrive-UniversitàdelSalento/EBES/Thesis/THESIS/OUTPUT/PROVA_PACCHETTI_files/figure-docx/temp_patch_boxplot-1.png" id="49" name="Picture"/>
                    <pic:cNvPicPr>
                      <a:picLocks noChangeArrowheads="1" noChangeAspect="1"/>
                    </pic:cNvPicPr>
                  </pic:nvPicPr>
                  <pic:blipFill>
                    <a:blip r:embed="rId47"/>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Box plots describing the different effects of temperature on bite rate in the high resource patch (patch H) and the low resource patch (patch L). The effect of temperature is stronger in patches with higher resources</w:t>
      </w:r>
      <w:r>
        <w:t xml:space="preserve"> </w:t>
      </w:r>
    </w:p>
    <w:p>
      <w:pPr>
        <w:pStyle w:val="TableCaption"/>
      </w:pPr>
      <w:r>
        <w:t xml:space="preserve">ANOVA test results show a significant effect of temperature on the number of bites in each feeding episode, but the interaction effect of patch type and temperature is not significant.</w:t>
      </w:r>
      <w:r>
        <w:t xml:space="preserve"> </w:t>
      </w:r>
    </w:p>
    <w:tbl>
      <w:tblPr>
        <w:tblStyle w:val="Table"/>
        <w:tblW w:type="pct" w:w="5000"/>
        <w:tblLook w:firstRow="1" w:lastRow="0" w:firstColumn="0" w:lastColumn="0" w:noHBand="0" w:noVBand="0" w:val="0020"/>
        <w:jc w:val="start"/>
        <w:tblCaption w:val="ANOVA test results show a significant effect of temperature on the number of bites in each feeding episode, but the interaction effect of patch type and temperature is not significant. "/>
      </w:tblPr>
      <w:tblGrid>
        <w:gridCol w:w="2640"/>
        <w:gridCol w:w="770"/>
        <w:gridCol w:w="990"/>
        <w:gridCol w:w="1100"/>
        <w:gridCol w:w="1100"/>
        <w:gridCol w:w="132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patch</w:t>
            </w:r>
          </w:p>
        </w:tc>
        <w:tc>
          <w:tcPr/>
          <w:p>
            <w:pPr>
              <w:pStyle w:val="Compact"/>
              <w:jc w:val="center"/>
            </w:pPr>
            <w:r>
              <w:t xml:space="preserve">1</w:t>
            </w:r>
          </w:p>
        </w:tc>
        <w:tc>
          <w:tcPr/>
          <w:p>
            <w:pPr>
              <w:pStyle w:val="Compact"/>
              <w:jc w:val="center"/>
            </w:pPr>
            <w:r>
              <w:t xml:space="preserve">9038</w:t>
            </w:r>
          </w:p>
        </w:tc>
        <w:tc>
          <w:tcPr/>
          <w:p>
            <w:pPr>
              <w:pStyle w:val="Compact"/>
              <w:jc w:val="center"/>
            </w:pPr>
            <w:r>
              <w:t xml:space="preserve">9038</w:t>
            </w:r>
          </w:p>
        </w:tc>
        <w:tc>
          <w:tcPr/>
          <w:p>
            <w:pPr>
              <w:pStyle w:val="Compact"/>
              <w:jc w:val="center"/>
            </w:pPr>
            <w:r>
              <w:t xml:space="preserve">54.27</w:t>
            </w:r>
          </w:p>
        </w:tc>
        <w:tc>
          <w:tcPr/>
          <w:p>
            <w:pPr>
              <w:pStyle w:val="Compact"/>
              <w:jc w:val="center"/>
            </w:pPr>
            <w:r>
              <w:t xml:space="preserve">2.524e-13</w:t>
            </w:r>
          </w:p>
        </w:tc>
      </w:tr>
      <w:tr>
        <w:tc>
          <w:tcPr/>
          <w:p>
            <w:pPr>
              <w:pStyle w:val="Compact"/>
              <w:jc w:val="center"/>
            </w:pPr>
            <w:r>
              <w:rPr>
                <w:bCs/>
                <w:b/>
              </w:rPr>
              <w:t xml:space="preserve">temperature</w:t>
            </w:r>
          </w:p>
        </w:tc>
        <w:tc>
          <w:tcPr/>
          <w:p>
            <w:pPr>
              <w:pStyle w:val="Compact"/>
              <w:jc w:val="center"/>
            </w:pPr>
            <w:r>
              <w:t xml:space="preserve">1</w:t>
            </w:r>
          </w:p>
        </w:tc>
        <w:tc>
          <w:tcPr/>
          <w:p>
            <w:pPr>
              <w:pStyle w:val="Compact"/>
              <w:jc w:val="center"/>
            </w:pPr>
            <w:r>
              <w:t xml:space="preserve">1617</w:t>
            </w:r>
          </w:p>
        </w:tc>
        <w:tc>
          <w:tcPr/>
          <w:p>
            <w:pPr>
              <w:pStyle w:val="Compact"/>
              <w:jc w:val="center"/>
            </w:pPr>
            <w:r>
              <w:t xml:space="preserve">1617</w:t>
            </w:r>
          </w:p>
        </w:tc>
        <w:tc>
          <w:tcPr/>
          <w:p>
            <w:pPr>
              <w:pStyle w:val="Compact"/>
              <w:jc w:val="center"/>
            </w:pPr>
            <w:r>
              <w:t xml:space="preserve">9.708</w:t>
            </w:r>
          </w:p>
        </w:tc>
        <w:tc>
          <w:tcPr/>
          <w:p>
            <w:pPr>
              <w:pStyle w:val="Compact"/>
              <w:jc w:val="center"/>
            </w:pPr>
            <w:r>
              <w:t xml:space="preserve">0.00186</w:t>
            </w:r>
          </w:p>
        </w:tc>
      </w:tr>
      <w:tr>
        <w:tc>
          <w:tcPr/>
          <w:p>
            <w:pPr>
              <w:pStyle w:val="Compact"/>
              <w:jc w:val="center"/>
            </w:pPr>
            <w:r>
              <w:rPr>
                <w:bCs/>
                <w:b/>
              </w:rPr>
              <w:t xml:space="preserve">patch:temperature</w:t>
            </w:r>
          </w:p>
        </w:tc>
        <w:tc>
          <w:tcPr/>
          <w:p>
            <w:pPr>
              <w:pStyle w:val="Compact"/>
              <w:jc w:val="center"/>
            </w:pPr>
            <w:r>
              <w:t xml:space="preserve">1</w:t>
            </w:r>
          </w:p>
        </w:tc>
        <w:tc>
          <w:tcPr/>
          <w:p>
            <w:pPr>
              <w:pStyle w:val="Compact"/>
              <w:jc w:val="center"/>
            </w:pPr>
            <w:r>
              <w:t xml:space="preserve">27.9</w:t>
            </w:r>
          </w:p>
        </w:tc>
        <w:tc>
          <w:tcPr/>
          <w:p>
            <w:pPr>
              <w:pStyle w:val="Compact"/>
              <w:jc w:val="center"/>
            </w:pPr>
            <w:r>
              <w:t xml:space="preserve">27.9</w:t>
            </w:r>
          </w:p>
        </w:tc>
        <w:tc>
          <w:tcPr/>
          <w:p>
            <w:pPr>
              <w:pStyle w:val="Compact"/>
              <w:jc w:val="center"/>
            </w:pPr>
            <w:r>
              <w:t xml:space="preserve">0.1675</w:t>
            </w:r>
          </w:p>
        </w:tc>
        <w:tc>
          <w:tcPr/>
          <w:p>
            <w:pPr>
              <w:pStyle w:val="Compact"/>
              <w:jc w:val="center"/>
            </w:pPr>
            <w:r>
              <w:t xml:space="preserve">0.6824</w:t>
            </w:r>
          </w:p>
        </w:tc>
      </w:tr>
      <w:tr>
        <w:tc>
          <w:tcPr/>
          <w:p>
            <w:pPr>
              <w:pStyle w:val="Compact"/>
              <w:jc w:val="center"/>
            </w:pPr>
            <w:r>
              <w:rPr>
                <w:bCs/>
                <w:b/>
              </w:rPr>
              <w:t xml:space="preserve">Residuals</w:t>
            </w:r>
          </w:p>
        </w:tc>
        <w:tc>
          <w:tcPr/>
          <w:p>
            <w:pPr>
              <w:pStyle w:val="Compact"/>
              <w:jc w:val="center"/>
            </w:pPr>
            <w:r>
              <w:t xml:space="preserve">2051</w:t>
            </w:r>
          </w:p>
        </w:tc>
        <w:tc>
          <w:tcPr/>
          <w:p>
            <w:pPr>
              <w:pStyle w:val="Compact"/>
              <w:jc w:val="center"/>
            </w:pPr>
            <w:r>
              <w:t xml:space="preserve">341596</w:t>
            </w:r>
          </w:p>
        </w:tc>
        <w:tc>
          <w:tcPr/>
          <w:p>
            <w:pPr>
              <w:pStyle w:val="Compact"/>
              <w:jc w:val="center"/>
            </w:pPr>
            <w:r>
              <w:t xml:space="preserve">166.6</w:t>
            </w:r>
          </w:p>
        </w:tc>
        <w:tc>
          <w:tcPr/>
          <w:p>
            <w:pPr>
              <w:pStyle w:val="Compact"/>
              <w:jc w:val="center"/>
            </w:pPr>
            <w:r>
              <w:t xml:space="preserve">NA</w:t>
            </w:r>
          </w:p>
        </w:tc>
        <w:tc>
          <w:tcPr/>
          <w:p>
            <w:pPr>
              <w:pStyle w:val="Compact"/>
              <w:jc w:val="center"/>
            </w:pPr>
            <w:r>
              <w:t xml:space="preserve">NA</w:t>
            </w:r>
          </w:p>
        </w:tc>
      </w:tr>
    </w:tbl>
    <w:bookmarkEnd w:id="50"/>
    <w:bookmarkStart w:id="54" w:name="X7ede744fe50805903d71b07d9355e349d5d44f2"/>
    <w:p>
      <w:pPr>
        <w:pStyle w:val="Heading2"/>
      </w:pPr>
      <w:r>
        <w:rPr>
          <w:rStyle w:val="SectionNumber"/>
        </w:rPr>
        <w:t xml:space="preserve">4.3</w:t>
      </w:r>
      <w:r>
        <w:tab/>
      </w:r>
      <w:r>
        <w:t xml:space="preserve">Differences in patch preference between sexes</w:t>
      </w:r>
    </w:p>
    <w:p>
      <w:pPr>
        <w:pStyle w:val="FirstParagraph"/>
      </w:pPr>
      <w:r>
        <w:t xml:space="preserve">Sex may influence the foraging behaviour as well since the male sex has a significant positive effect on the number of bites for each feeding episode (</w:t>
      </w:r>
      <m:oMath>
        <m:r>
          <m:t>β</m:t>
        </m:r>
        <m:r>
          <m:rPr>
            <m:sty m:val="p"/>
          </m:rPr>
          <m:t>=</m:t>
        </m:r>
        <m:r>
          <m:t>6.37</m:t>
        </m:r>
        <m:r>
          <m:rPr>
            <m:sty m:val="p"/>
          </m:rPr>
          <m:t>,</m:t>
        </m:r>
        <m:r>
          <m:t>S</m:t>
        </m:r>
        <m:r>
          <m:t>E</m:t>
        </m:r>
        <m:r>
          <m:rPr>
            <m:sty m:val="p"/>
          </m:rPr>
          <m:t>=</m:t>
        </m:r>
        <m:r>
          <m:t>2.80</m:t>
        </m:r>
        <m:r>
          <m:rPr>
            <m:sty m:val="p"/>
          </m:rPr>
          <m:t>,</m:t>
        </m:r>
        <m:r>
          <m:t>t</m:t>
        </m:r>
        <m:d>
          <m:dPr>
            <m:begChr m:val="("/>
            <m:endChr m:val=")"/>
            <m:sepChr m:val=""/>
            <m:grow/>
          </m:dPr>
          <m:e>
            <m:r>
              <m:t>2039</m:t>
            </m:r>
          </m:e>
        </m:d>
        <m:r>
          <m:rPr>
            <m:sty m:val="p"/>
          </m:rPr>
          <m:t>=</m:t>
        </m:r>
        <m:r>
          <m:t>2.28</m:t>
        </m:r>
        <m:r>
          <m:rPr>
            <m:sty m:val="p"/>
          </m:rPr>
          <m:t>,</m:t>
        </m:r>
        <m:r>
          <m:t>p</m:t>
        </m:r>
        <m:r>
          <m:rPr>
            <m:sty m:val="p"/>
          </m:rPr>
          <m:t>&lt;</m:t>
        </m:r>
        <m:r>
          <m:t>0.05</m:t>
        </m:r>
      </m:oMath>
      <w:r>
        <w:t xml:space="preserve">), suggesting that males bite more than females (Table</w:t>
      </w:r>
      <w:r>
        <w:t xml:space="preserve"> </w:t>
      </w:r>
      <w:r>
        <w:t xml:space="preserve">). However, the trend described in para</w:t>
      </w:r>
      <w:r>
        <w:t xml:space="preserve"> </w:t>
      </w:r>
      <w:r>
        <w:t xml:space="preserve"> </w:t>
      </w:r>
      <w:r>
        <w:t xml:space="preserve">seems more irregular in males, showing a more exploratory behaviour than in females (Fig.</w:t>
      </w:r>
      <w:r>
        <w:t xml:space="preserve"> </w:t>
      </w:r>
      <w:r>
        <w:t xml:space="preserve">).</w:t>
      </w:r>
    </w:p>
    <w:p>
      <w:pPr>
        <w:pStyle w:val="CaptionedFigure"/>
      </w:pPr>
      <w:r>
        <w:drawing>
          <wp:inline>
            <wp:extent cx="5334000" cy="1778000"/>
            <wp:effectExtent b="0" l="0" r="0" t="0"/>
            <wp:docPr descr="Box plots describing the different effects of sex on bite rate in the high resource patch (patch H) and the low resource patch (patch L). The trend described in para  seems more irregular in males, showing a more exploratory behaviour than in females. " title="" id="52" name="Picture"/>
            <a:graphic>
              <a:graphicData uri="http://schemas.openxmlformats.org/drawingml/2006/picture">
                <pic:pic>
                  <pic:nvPicPr>
                    <pic:cNvPr descr="/Users/saraventruti/Library/CloudStorage/OneDrive-UniversitàdelSalento/EBES/Thesis/THESIS/OUTPUT/PROVA_PACCHETTI_files/figure-docx/patch_sex_boxplot-1.png" id="53" name="Picture"/>
                    <pic:cNvPicPr>
                      <a:picLocks noChangeArrowheads="1" noChangeAspect="1"/>
                    </pic:cNvPicPr>
                  </pic:nvPicPr>
                  <pic:blipFill>
                    <a:blip r:embed="rId51"/>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Box plots describing the different effects of sex on bite rate in the high resource patch (patch H) and the low resource patch (patch L). The trend described in para</w:t>
      </w:r>
      <w:r>
        <w:t xml:space="preserve"> </w:t>
      </w:r>
      <w:r>
        <w:t xml:space="preserve"> </w:t>
      </w:r>
      <w:r>
        <w:t xml:space="preserve">seems more irregular in males, showing a more exploratory behaviour than in females.</w:t>
      </w:r>
      <w:r>
        <w:t xml:space="preserve"> </w:t>
      </w:r>
    </w:p>
    <w:bookmarkEnd w:id="54"/>
    <w:bookmarkStart w:id="58" w:name="X53a89c0dab99d49f0bdb83fb7e7e11be3de67e5"/>
    <w:p>
      <w:pPr>
        <w:pStyle w:val="Heading2"/>
      </w:pPr>
      <w:r>
        <w:rPr>
          <w:rStyle w:val="SectionNumber"/>
        </w:rPr>
        <w:t xml:space="preserve">4.4</w:t>
      </w:r>
      <w:r>
        <w:tab/>
      </w:r>
      <w:r>
        <w:t xml:space="preserve">Combined effects of sex and temperature on feeding behaviour</w:t>
      </w:r>
    </w:p>
    <w:p>
      <w:pPr>
        <w:pStyle w:val="FirstParagraph"/>
      </w:pPr>
      <w:r>
        <w:t xml:space="preserve">Finally, the interaction between sex and temperature may have a combined effect on feeding behaviour (</w:t>
      </w:r>
      <m:oMath>
        <m:r>
          <m:t>β</m:t>
        </m:r>
        <m:r>
          <m:rPr>
            <m:sty m:val="p"/>
          </m:rPr>
          <m:t>=</m:t>
        </m:r>
        <m:r>
          <m:t>10.89</m:t>
        </m:r>
        <m:r>
          <m:rPr>
            <m:sty m:val="p"/>
          </m:rPr>
          <m:t>,</m:t>
        </m:r>
        <m:r>
          <m:t>S</m:t>
        </m:r>
        <m:r>
          <m:t>E</m:t>
        </m:r>
        <m:r>
          <m:rPr>
            <m:sty m:val="p"/>
          </m:rPr>
          <m:t>=</m:t>
        </m:r>
        <m:r>
          <m:t>5.13</m:t>
        </m:r>
        <m:r>
          <m:rPr>
            <m:sty m:val="p"/>
          </m:rPr>
          <m:t>,</m:t>
        </m:r>
        <m:r>
          <m:t>t</m:t>
        </m:r>
        <m:d>
          <m:dPr>
            <m:begChr m:val="("/>
            <m:endChr m:val=")"/>
            <m:sepChr m:val=""/>
            <m:grow/>
          </m:dPr>
          <m:e>
            <m:r>
              <m:t>2039</m:t>
            </m:r>
          </m:e>
        </m:d>
        <m:r>
          <m:rPr>
            <m:sty m:val="p"/>
          </m:rPr>
          <m:t>=</m:t>
        </m:r>
        <m:r>
          <m:t>2.13</m:t>
        </m:r>
        <m:r>
          <m:rPr>
            <m:sty m:val="p"/>
          </m:rPr>
          <m:t>,</m:t>
        </m:r>
        <m:r>
          <m:t>p</m:t>
        </m:r>
        <m:r>
          <m:rPr>
            <m:sty m:val="p"/>
          </m:rPr>
          <m:t>&lt;</m:t>
        </m:r>
        <m:r>
          <m:t>0.05</m:t>
        </m:r>
      </m:oMath>
      <w:r>
        <w:t xml:space="preserve">). As discussed above, males have a higher bite rate than females, and since higher temperatures correspond to an increase in the number of bites, male fish at 28°C show a higher bite rate, nevertheless this difference it’s not significant (</w:t>
      </w:r>
      <m:oMath>
        <m:r>
          <m:t>T</m:t>
        </m:r>
        <m:r>
          <m:t>u</m:t>
        </m:r>
        <m:r>
          <m:t>k</m:t>
        </m:r>
        <m:r>
          <m:t>e</m:t>
        </m:r>
        <m:r>
          <m:t>y</m:t>
        </m:r>
        <m:r>
          <m:t>H</m:t>
        </m:r>
        <m:r>
          <m:t>S</m:t>
        </m:r>
        <m:r>
          <m:t>D</m:t>
        </m:r>
        <m:r>
          <m:rPr>
            <m:sty m:val="p"/>
          </m:rPr>
          <m:t>,</m:t>
        </m:r>
        <m:r>
          <m:t>p</m:t>
        </m:r>
        <m:r>
          <m:rPr>
            <m:sty m:val="p"/>
          </m:rPr>
          <m:t>=</m:t>
        </m:r>
        <m:r>
          <m:t>0.16</m:t>
        </m:r>
      </m:oMath>
      <w:r>
        <w:t xml:space="preserve">). Instead, the difference in behaviour is significantly higher for females (</w:t>
      </w:r>
      <m:oMath>
        <m:r>
          <m:t>T</m:t>
        </m:r>
        <m:r>
          <m:t>u</m:t>
        </m:r>
        <m:r>
          <m:t>k</m:t>
        </m:r>
        <m:r>
          <m:t>e</m:t>
        </m:r>
        <m:r>
          <m:t>y</m:t>
        </m:r>
        <m:r>
          <m:t>H</m:t>
        </m:r>
        <m:r>
          <m:t>S</m:t>
        </m:r>
        <m:r>
          <m:t>D</m:t>
        </m:r>
        <m:r>
          <m:rPr>
            <m:sty m:val="p"/>
          </m:rPr>
          <m:t>,</m:t>
        </m:r>
        <m:r>
          <m:t>p</m:t>
        </m:r>
        <m:r>
          <m:rPr>
            <m:sty m:val="p"/>
          </m:rPr>
          <m:t>&lt;</m:t>
        </m:r>
        <m:r>
          <m:t>0.005</m:t>
        </m:r>
      </m:oMath>
      <w:r>
        <w:t xml:space="preserve">), suggesting a more pronounced response to high temperature (Table</w:t>
      </w:r>
      <w:r>
        <w:t xml:space="preserve"> </w:t>
      </w:r>
      <w:r>
        <w:t xml:space="preserve">, Fig.</w:t>
      </w:r>
      <w:r>
        <w:t xml:space="preserve">). This confirms a difference in foraging choices depending on environmental conditions according to sex, showing how behavioural differences between the sexes may impact metabolic responses to external changes, such as a change in temperature.</w:t>
      </w:r>
    </w:p>
    <w:p>
      <w:pPr>
        <w:pStyle w:val="TableCaption"/>
      </w:pPr>
      <w:r>
        <w:t xml:space="preserve">Tukey HSD post-hoc test shows how sex and temperature may have a combined effect on the number of bites in each feeding episode. Difference in behaviour is not significant for males and significantly higher for females, suggesting a more pronounced response to high temperature.</w:t>
      </w:r>
      <w:r>
        <w:t xml:space="preserve"> </w:t>
      </w:r>
    </w:p>
    <w:tbl>
      <w:tblPr>
        <w:tblStyle w:val="Table"/>
        <w:tblW w:type="pct" w:w="3750"/>
        <w:tblLook w:firstRow="1" w:lastRow="0" w:firstColumn="0" w:lastColumn="0" w:noHBand="0" w:noVBand="0" w:val="0020"/>
        <w:jc w:val="start"/>
        <w:tblCaption w:val="Tukey HSD post-hoc test shows how sex and temperature may have a combined effect on the number of bites in each feeding episode. Difference in behaviour is not significant for males and significantly higher for females, suggesting a more pronounced response to high temperature. "/>
      </w:tblPr>
      <w:tblGrid>
        <w:gridCol w:w="1760"/>
        <w:gridCol w:w="990"/>
        <w:gridCol w:w="1100"/>
        <w:gridCol w:w="880"/>
        <w:gridCol w:w="1210"/>
      </w:tblGrid>
      <w:tr>
        <w:trPr>
          <w:tblHeader w:val="true"/>
        </w:trPr>
        <w:tc>
          <w:tcPr/>
          <w:p>
            <w:pPr>
              <w:pStyle w:val="Compact"/>
              <w:jc w:val="center"/>
            </w:pPr>
            <w:r>
              <w:t xml:space="preserve"> </w:t>
            </w:r>
          </w:p>
        </w:tc>
        <w:tc>
          <w:tcPr/>
          <w:p>
            <w:pPr>
              <w:pStyle w:val="Compact"/>
              <w:jc w:val="center"/>
            </w:pPr>
            <w:r>
              <w:t xml:space="preserve">diff</w:t>
            </w:r>
          </w:p>
        </w:tc>
        <w:tc>
          <w:tcPr/>
          <w:p>
            <w:pPr>
              <w:pStyle w:val="Compact"/>
              <w:jc w:val="center"/>
            </w:pPr>
            <w:r>
              <w:t xml:space="preserve">lwr</w:t>
            </w:r>
          </w:p>
        </w:tc>
        <w:tc>
          <w:tcPr/>
          <w:p>
            <w:pPr>
              <w:pStyle w:val="Compact"/>
              <w:jc w:val="center"/>
            </w:pPr>
            <w:r>
              <w:t xml:space="preserve">upr</w:t>
            </w:r>
          </w:p>
        </w:tc>
        <w:tc>
          <w:tcPr/>
          <w:p>
            <w:pPr>
              <w:pStyle w:val="Compact"/>
              <w:jc w:val="center"/>
            </w:pPr>
            <w:r>
              <w:t xml:space="preserve">p adj</w:t>
            </w:r>
          </w:p>
        </w:tc>
      </w:tr>
      <w:tr>
        <w:tc>
          <w:tcPr/>
          <w:p>
            <w:pPr>
              <w:pStyle w:val="Compact"/>
              <w:jc w:val="center"/>
            </w:pPr>
            <w:r>
              <w:rPr>
                <w:bCs/>
                <w:b/>
              </w:rPr>
              <w:t xml:space="preserve">M:25-F:25</w:t>
            </w:r>
          </w:p>
        </w:tc>
        <w:tc>
          <w:tcPr/>
          <w:p>
            <w:pPr>
              <w:pStyle w:val="Compact"/>
              <w:jc w:val="center"/>
            </w:pPr>
            <w:r>
              <w:t xml:space="preserve">1.737</w:t>
            </w:r>
          </w:p>
        </w:tc>
        <w:tc>
          <w:tcPr/>
          <w:p>
            <w:pPr>
              <w:pStyle w:val="Compact"/>
              <w:jc w:val="center"/>
            </w:pPr>
            <w:r>
              <w:t xml:space="preserve">-0.9011</w:t>
            </w:r>
          </w:p>
        </w:tc>
        <w:tc>
          <w:tcPr/>
          <w:p>
            <w:pPr>
              <w:pStyle w:val="Compact"/>
              <w:jc w:val="center"/>
            </w:pPr>
            <w:r>
              <w:t xml:space="preserve">4.375</w:t>
            </w:r>
          </w:p>
        </w:tc>
        <w:tc>
          <w:tcPr/>
          <w:p>
            <w:pPr>
              <w:pStyle w:val="Compact"/>
              <w:jc w:val="center"/>
            </w:pPr>
            <w:r>
              <w:t xml:space="preserve">0.3277</w:t>
            </w:r>
          </w:p>
        </w:tc>
      </w:tr>
      <w:tr>
        <w:tc>
          <w:tcPr/>
          <w:p>
            <w:pPr>
              <w:pStyle w:val="Compact"/>
              <w:jc w:val="center"/>
            </w:pPr>
            <w:r>
              <w:rPr>
                <w:bCs/>
                <w:b/>
              </w:rPr>
              <w:t xml:space="preserve">F:28-F:25</w:t>
            </w:r>
          </w:p>
        </w:tc>
        <w:tc>
          <w:tcPr/>
          <w:p>
            <w:pPr>
              <w:pStyle w:val="Compact"/>
              <w:jc w:val="center"/>
            </w:pPr>
            <w:r>
              <w:t xml:space="preserve">3.166</w:t>
            </w:r>
          </w:p>
        </w:tc>
        <w:tc>
          <w:tcPr/>
          <w:p>
            <w:pPr>
              <w:pStyle w:val="Compact"/>
              <w:jc w:val="center"/>
            </w:pPr>
            <w:r>
              <w:t xml:space="preserve">0.813</w:t>
            </w:r>
          </w:p>
        </w:tc>
        <w:tc>
          <w:tcPr/>
          <w:p>
            <w:pPr>
              <w:pStyle w:val="Compact"/>
              <w:jc w:val="center"/>
            </w:pPr>
            <w:r>
              <w:t xml:space="preserve">5.519</w:t>
            </w:r>
          </w:p>
        </w:tc>
        <w:tc>
          <w:tcPr/>
          <w:p>
            <w:pPr>
              <w:pStyle w:val="Compact"/>
              <w:jc w:val="center"/>
            </w:pPr>
            <w:r>
              <w:t xml:space="preserve">0.003096</w:t>
            </w:r>
          </w:p>
        </w:tc>
      </w:tr>
      <w:tr>
        <w:tc>
          <w:tcPr/>
          <w:p>
            <w:pPr>
              <w:pStyle w:val="Compact"/>
              <w:jc w:val="center"/>
            </w:pPr>
            <w:r>
              <w:rPr>
                <w:bCs/>
                <w:b/>
              </w:rPr>
              <w:t xml:space="preserve">M:28-F:25</w:t>
            </w:r>
          </w:p>
        </w:tc>
        <w:tc>
          <w:tcPr/>
          <w:p>
            <w:pPr>
              <w:pStyle w:val="Compact"/>
              <w:jc w:val="center"/>
            </w:pPr>
            <w:r>
              <w:t xml:space="preserve">3.528</w:t>
            </w:r>
          </w:p>
        </w:tc>
        <w:tc>
          <w:tcPr/>
          <w:p>
            <w:pPr>
              <w:pStyle w:val="Compact"/>
              <w:jc w:val="center"/>
            </w:pPr>
            <w:r>
              <w:t xml:space="preserve">1.003</w:t>
            </w:r>
          </w:p>
        </w:tc>
        <w:tc>
          <w:tcPr/>
          <w:p>
            <w:pPr>
              <w:pStyle w:val="Compact"/>
              <w:jc w:val="center"/>
            </w:pPr>
            <w:r>
              <w:t xml:space="preserve">6.053</w:t>
            </w:r>
          </w:p>
        </w:tc>
        <w:tc>
          <w:tcPr/>
          <w:p>
            <w:pPr>
              <w:pStyle w:val="Compact"/>
              <w:jc w:val="center"/>
            </w:pPr>
            <w:r>
              <w:t xml:space="preserve">0.001903</w:t>
            </w:r>
          </w:p>
        </w:tc>
      </w:tr>
      <w:tr>
        <w:tc>
          <w:tcPr/>
          <w:p>
            <w:pPr>
              <w:pStyle w:val="Compact"/>
              <w:jc w:val="center"/>
            </w:pPr>
            <w:r>
              <w:rPr>
                <w:bCs/>
                <w:b/>
              </w:rPr>
              <w:t xml:space="preserve">F:28-M:25</w:t>
            </w:r>
          </w:p>
        </w:tc>
        <w:tc>
          <w:tcPr/>
          <w:p>
            <w:pPr>
              <w:pStyle w:val="Compact"/>
              <w:jc w:val="center"/>
            </w:pPr>
            <w:r>
              <w:t xml:space="preserve">1.429</w:t>
            </w:r>
          </w:p>
        </w:tc>
        <w:tc>
          <w:tcPr/>
          <w:p>
            <w:pPr>
              <w:pStyle w:val="Compact"/>
              <w:jc w:val="center"/>
            </w:pPr>
            <w:r>
              <w:t xml:space="preserve">-0.5854</w:t>
            </w:r>
          </w:p>
        </w:tc>
        <w:tc>
          <w:tcPr/>
          <w:p>
            <w:pPr>
              <w:pStyle w:val="Compact"/>
              <w:jc w:val="center"/>
            </w:pPr>
            <w:r>
              <w:t xml:space="preserve">3.443</w:t>
            </w:r>
          </w:p>
        </w:tc>
        <w:tc>
          <w:tcPr/>
          <w:p>
            <w:pPr>
              <w:pStyle w:val="Compact"/>
              <w:jc w:val="center"/>
            </w:pPr>
            <w:r>
              <w:t xml:space="preserve">0.2623</w:t>
            </w:r>
          </w:p>
        </w:tc>
      </w:tr>
      <w:tr>
        <w:tc>
          <w:tcPr/>
          <w:p>
            <w:pPr>
              <w:pStyle w:val="Compact"/>
              <w:jc w:val="center"/>
            </w:pPr>
            <w:r>
              <w:rPr>
                <w:bCs/>
                <w:b/>
              </w:rPr>
              <w:t xml:space="preserve">M:28-M:25</w:t>
            </w:r>
          </w:p>
        </w:tc>
        <w:tc>
          <w:tcPr/>
          <w:p>
            <w:pPr>
              <w:pStyle w:val="Compact"/>
              <w:jc w:val="center"/>
            </w:pPr>
            <w:r>
              <w:t xml:space="preserve">1.791</w:t>
            </w:r>
          </w:p>
        </w:tc>
        <w:tc>
          <w:tcPr/>
          <w:p>
            <w:pPr>
              <w:pStyle w:val="Compact"/>
              <w:jc w:val="center"/>
            </w:pPr>
            <w:r>
              <w:t xml:space="preserve">-0.4221</w:t>
            </w:r>
          </w:p>
        </w:tc>
        <w:tc>
          <w:tcPr/>
          <w:p>
            <w:pPr>
              <w:pStyle w:val="Compact"/>
              <w:jc w:val="center"/>
            </w:pPr>
            <w:r>
              <w:t xml:space="preserve">4.004</w:t>
            </w:r>
          </w:p>
        </w:tc>
        <w:tc>
          <w:tcPr/>
          <w:p>
            <w:pPr>
              <w:pStyle w:val="Compact"/>
              <w:jc w:val="center"/>
            </w:pPr>
            <w:r>
              <w:t xml:space="preserve">0.1597</w:t>
            </w:r>
          </w:p>
        </w:tc>
      </w:tr>
      <w:tr>
        <w:tc>
          <w:tcPr/>
          <w:p>
            <w:pPr>
              <w:pStyle w:val="Compact"/>
              <w:jc w:val="center"/>
            </w:pPr>
            <w:r>
              <w:rPr>
                <w:bCs/>
                <w:b/>
              </w:rPr>
              <w:t xml:space="preserve">M:28-F:28</w:t>
            </w:r>
          </w:p>
        </w:tc>
        <w:tc>
          <w:tcPr/>
          <w:p>
            <w:pPr>
              <w:pStyle w:val="Compact"/>
              <w:jc w:val="center"/>
            </w:pPr>
            <w:r>
              <w:t xml:space="preserve">0.3621</w:t>
            </w:r>
          </w:p>
        </w:tc>
        <w:tc>
          <w:tcPr/>
          <w:p>
            <w:pPr>
              <w:pStyle w:val="Compact"/>
              <w:jc w:val="center"/>
            </w:pPr>
            <w:r>
              <w:t xml:space="preserve">-1.502</w:t>
            </w:r>
          </w:p>
        </w:tc>
        <w:tc>
          <w:tcPr/>
          <w:p>
            <w:pPr>
              <w:pStyle w:val="Compact"/>
              <w:jc w:val="center"/>
            </w:pPr>
            <w:r>
              <w:t xml:space="preserve">2.226</w:t>
            </w:r>
          </w:p>
        </w:tc>
        <w:tc>
          <w:tcPr/>
          <w:p>
            <w:pPr>
              <w:pStyle w:val="Compact"/>
              <w:jc w:val="center"/>
            </w:pPr>
            <w:r>
              <w:t xml:space="preserve">0.9592</w:t>
            </w:r>
          </w:p>
        </w:tc>
      </w:tr>
    </w:tbl>
    <w:p>
      <w:pPr>
        <w:pStyle w:val="CaptionedFigure"/>
      </w:pPr>
      <w:r>
        <w:drawing>
          <wp:inline>
            <wp:extent cx="5334000" cy="4267200"/>
            <wp:effectExtent b="0" l="0" r="0" t="0"/>
            <wp:docPr descr="Interaction plot shows how females have a more significant response to high temperature. " title="" id="56" name="Picture"/>
            <a:graphic>
              <a:graphicData uri="http://schemas.openxmlformats.org/drawingml/2006/picture">
                <pic:pic>
                  <pic:nvPicPr>
                    <pic:cNvPr descr="/Users/saraventruti/Library/CloudStorage/OneDrive-UniversitàdelSalento/EBES/Thesis/THESIS/OUTPUT/PROVA_PACCHETTI_files/figure-docx/interaction_plot-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Interaction plot shows how females have a more significant response to high temperature.</w:t>
      </w:r>
      <w:r>
        <w:t xml:space="preserve"> </w:t>
      </w:r>
    </w:p>
    <w:p>
      <w:r>
        <w:br w:type="page"/>
      </w:r>
    </w:p>
    <w:bookmarkEnd w:id="58"/>
    <w:bookmarkEnd w:id="59"/>
    <w:bookmarkStart w:id="66" w:name="discussion"/>
    <w:p>
      <w:pPr>
        <w:pStyle w:val="Heading1"/>
      </w:pPr>
      <w:r>
        <w:rPr>
          <w:rStyle w:val="SectionNumber"/>
        </w:rPr>
        <w:t xml:space="preserve">5</w:t>
      </w:r>
      <w:r>
        <w:tab/>
      </w:r>
      <w:r>
        <w:t xml:space="preserve">Discussion</w:t>
      </w:r>
    </w:p>
    <w:p>
      <w:pPr>
        <w:pStyle w:val="FirstParagraph"/>
      </w:pPr>
      <w:r>
        <w:t xml:space="preserve">The objective of this thesis is to analyze how individual foraging behaviour can be influenced by temperature. In particular, the study conducted has demonstrated that the effect of temperature may vary between sexes in</w:t>
      </w:r>
      <w:r>
        <w:t xml:space="preserve"> </w:t>
      </w:r>
      <w:r>
        <w:rPr>
          <w:iCs/>
          <w:i/>
        </w:rPr>
        <w:t xml:space="preserve">Poecilia sphenops</w:t>
      </w:r>
      <w:r>
        <w:t xml:space="preserve">, with greater foraging activity observed at 28°C, especially in females. The fish bite rate, estimated as the number of bites for each feeding episode, was used as a measurable proxy for the ingestion rate, proving that temperature variations and sex differences directly influence foraging decisions. Differences in the response to temperature change between the two sexes may be due to differences in metabolic rate, suggesting how POLS may influence the feeding efficiency of the species and highlighting the importance of considering sex as a key variable in future ecological studies.</w:t>
      </w:r>
    </w:p>
    <w:bookmarkStart w:id="60" w:name="patch-preference"/>
    <w:p>
      <w:pPr>
        <w:pStyle w:val="Heading2"/>
      </w:pPr>
      <w:r>
        <w:rPr>
          <w:rStyle w:val="SectionNumber"/>
        </w:rPr>
        <w:t xml:space="preserve">5.1</w:t>
      </w:r>
      <w:r>
        <w:tab/>
      </w:r>
      <w:r>
        <w:t xml:space="preserve">Patch preference</w:t>
      </w:r>
    </w:p>
    <w:p>
      <w:pPr>
        <w:pStyle w:val="FirstParagraph"/>
      </w:pPr>
      <w:r>
        <w:t xml:space="preserve">A key element of foraging behaviour is the selection of feeding areas (patches), which an individual frequents based on resource availability. Studies conducted in this thesis revealed that the fish tended to prefer patches with higher resource availability during the first few minutes of observation, followed by a drop in ingestion rate and consequentially decrease in interest in the high resource patch over time. This pattern is coherent with Holling’s type II functional response, where the forager is characterized by a decreasing intake rate due to resource consumption</w:t>
      </w:r>
      <w:r>
        <w:t xml:space="preserve"> </w:t>
      </w:r>
      <w:r>
        <w:t xml:space="preserve">(Holling, 1959)</w:t>
      </w:r>
      <w:r>
        <w:t xml:space="preserve"> </w:t>
      </w:r>
      <w:r>
        <w:t xml:space="preserve">since the foraging energetics costs have been balanced by the energy gain coming from the ingested resource</w:t>
      </w:r>
      <w:r>
        <w:t xml:space="preserve"> </w:t>
      </w:r>
      <w:r>
        <w:t xml:space="preserve">(J. S. Brown et al., 1988)</w:t>
      </w:r>
      <w:r>
        <w:t xml:space="preserve">. This strategy may be a physiological and behavioural response to maximise energy efficiency, as stated by the Optimal Foraging Theory</w:t>
      </w:r>
      <w:r>
        <w:t xml:space="preserve"> </w:t>
      </w:r>
      <w:r>
        <w:t xml:space="preserve">(MacArthur &amp; Pianka, 1966)</w:t>
      </w:r>
      <w:r>
        <w:t xml:space="preserve">.</w:t>
      </w:r>
    </w:p>
    <w:p>
      <w:pPr>
        <w:pStyle w:val="BodyText"/>
      </w:pPr>
      <w:r>
        <w:t xml:space="preserve">In a broader context, these conclusions support the idea of organisms as cybernetic systems that dynamically respond to environmental inputs to optimise resource acquisition</w:t>
      </w:r>
      <w:r>
        <w:t xml:space="preserve"> </w:t>
      </w:r>
      <w:r>
        <w:t xml:space="preserve">(Abram et al., 2017; O’Connor et al., 2019)</w:t>
      </w:r>
      <w:r>
        <w:t xml:space="preserve">. The adaptation of</w:t>
      </w:r>
      <w:r>
        <w:t xml:space="preserve"> </w:t>
      </w:r>
      <w:r>
        <w:rPr>
          <w:iCs/>
          <w:i/>
        </w:rPr>
        <w:t xml:space="preserve">P. sphenops</w:t>
      </w:r>
      <w:r>
        <w:t xml:space="preserve"> </w:t>
      </w:r>
      <w:r>
        <w:t xml:space="preserve">to perceived reduced resource availability over time appears to follow a cybernetic feedback loop in which foraging behaviour actively modifies resource distribution, thereby altering environmental conditions, since feedback-based foraging behaviour can influence resource exploitation efficiency</w:t>
      </w:r>
      <w:r>
        <w:t xml:space="preserve"> </w:t>
      </w:r>
      <w:r>
        <w:t xml:space="preserve">(Basset, 1995; Cozzoli et al., 2018)</w:t>
      </w:r>
      <w:r>
        <w:t xml:space="preserve">. This supports the idea that resource exploitation efficiency is critical for survival in variable environments and that rapid adaptation to conditions is essential for maintaining individual fitness.</w:t>
      </w:r>
    </w:p>
    <w:bookmarkEnd w:id="60"/>
    <w:bookmarkStart w:id="61" w:name="Xcacb64c7b94135267fee5a774d0fe7b1b47756f"/>
    <w:p>
      <w:pPr>
        <w:pStyle w:val="Heading2"/>
      </w:pPr>
      <w:r>
        <w:rPr>
          <w:rStyle w:val="SectionNumber"/>
        </w:rPr>
        <w:t xml:space="preserve">5.2</w:t>
      </w:r>
      <w:r>
        <w:tab/>
      </w:r>
      <w:r>
        <w:t xml:space="preserve">Temperature effects on foraging behaviour</w:t>
      </w:r>
    </w:p>
    <w:p>
      <w:pPr>
        <w:pStyle w:val="FirstParagraph"/>
      </w:pPr>
      <w:r>
        <w:t xml:space="preserve">One of the environmental factors that influence the foraging behaviour of ectotherms is temperature. Increasing temperature led to an increase in the number of bites for each feeding episode, suggesting greater metabolic activity at higher temperatures. This finding is consistent with</w:t>
      </w:r>
      <w:r>
        <w:t xml:space="preserve"> </w:t>
      </w:r>
      <w:r>
        <w:t xml:space="preserve">Nunes et al. (2021)</w:t>
      </w:r>
      <w:r>
        <w:t xml:space="preserve"> </w:t>
      </w:r>
      <w:r>
        <w:t xml:space="preserve">theory based on the Metabolic Theory of Ecology, which predicts an increase in foraging rate in terms of bite rate, due to the increased metabolic rate, as environmental temperature increases. Moreover, the cybernetic behaviour of this fish allows us to observe a direct effect of temperature on the organism’s ability to process environmental information and act accordingly</w:t>
      </w:r>
      <w:r>
        <w:t xml:space="preserve"> </w:t>
      </w:r>
      <w:r>
        <w:t xml:space="preserve">(Abram et al., 2017)</w:t>
      </w:r>
      <w:r>
        <w:t xml:space="preserve">. In line with the concept of Thermal-Behavioural Syndrome (TBS) introduced by</w:t>
      </w:r>
      <w:r>
        <w:t xml:space="preserve"> </w:t>
      </w:r>
      <w:r>
        <w:t xml:space="preserve">Goulet, Thompson, Michelangeli, et al. (2017)</w:t>
      </w:r>
      <w:r>
        <w:t xml:space="preserve"> </w:t>
      </w:r>
      <w:r>
        <w:t xml:space="preserve">and included in the extended POLS model, the increase in temperature could push the fish towards a more</w:t>
      </w:r>
      <w:r>
        <w:t xml:space="preserve"> </w:t>
      </w:r>
      <w:r>
        <w:t xml:space="preserve">“</w:t>
      </w:r>
      <w:r>
        <w:t xml:space="preserve">hot/bold</w:t>
      </w:r>
      <w:r>
        <w:t xml:space="preserve">”</w:t>
      </w:r>
      <w:r>
        <w:t xml:space="preserve"> </w:t>
      </w:r>
      <w:r>
        <w:t xml:space="preserve">behaviour, with a more aggressive and exploratory response oriented towards maximising foraging and energy intake</w:t>
      </w:r>
      <w:r>
        <w:t xml:space="preserve"> </w:t>
      </w:r>
      <w:r>
        <w:t xml:space="preserve">(Careau et al., 2008; Réale et al., 2010)</w:t>
      </w:r>
      <w:r>
        <w:t xml:space="preserve">. This highlight how temperature can shape space/resource use and foraging decisions, providing a bridge between metabolic and foraging theories to improve our understanding of how organisms adapt foraging rates to environmental conditions, especially in the face of climate change</w:t>
      </w:r>
      <w:r>
        <w:t xml:space="preserve"> </w:t>
      </w:r>
      <w:r>
        <w:t xml:space="preserve">(Shokri et al., 2024)</w:t>
      </w:r>
      <w:r>
        <w:t xml:space="preserve">.</w:t>
      </w:r>
    </w:p>
    <w:bookmarkEnd w:id="61"/>
    <w:bookmarkStart w:id="62" w:name="X76b29e0d7d2275d34b76b03247689ced717050f"/>
    <w:p>
      <w:pPr>
        <w:pStyle w:val="Heading2"/>
      </w:pPr>
      <w:r>
        <w:rPr>
          <w:rStyle w:val="SectionNumber"/>
        </w:rPr>
        <w:t xml:space="preserve">5.3</w:t>
      </w:r>
      <w:r>
        <w:tab/>
      </w:r>
      <w:r>
        <w:t xml:space="preserve">Differences in patch preference and temperature sensitivity between sexes</w:t>
      </w:r>
    </w:p>
    <w:p>
      <w:pPr>
        <w:pStyle w:val="FirstParagraph"/>
      </w:pPr>
      <w:r>
        <w:t xml:space="preserve">An additional finding from this thesis involves the analysis of sex differences in patch preferences and temperature sensitivity. Specifically, females show a more significant response to high temperatures than males, with significantly greater foraging activity at 28°C. The greater sensitivity of females may indicate a critical role of metabolism in the regulation of foraging behaviour and may reflect an adaptive response to temperature variation to ensure optimal foraging and energy intake. In fact, differences in behaviour between males and females may reflect specific physiological and reproductive needs, as suggested by</w:t>
      </w:r>
      <w:r>
        <w:t xml:space="preserve"> </w:t>
      </w:r>
      <w:r>
        <w:t xml:space="preserve">Montiglio et al. (2018)</w:t>
      </w:r>
      <w:r>
        <w:t xml:space="preserve">, in the perspective of POLS. Females may have greater resource requirements due to higher metabolic rates leading them to maximise energy intake in warmer environments. Furthermore, as suggested by</w:t>
      </w:r>
      <w:r>
        <w:t xml:space="preserve"> </w:t>
      </w:r>
      <w:r>
        <w:t xml:space="preserve">Köhler et al. (2011)</w:t>
      </w:r>
      <w:r>
        <w:t xml:space="preserve">, females of</w:t>
      </w:r>
      <w:r>
        <w:t xml:space="preserve"> </w:t>
      </w:r>
      <w:r>
        <w:rPr>
          <w:iCs/>
          <w:i/>
        </w:rPr>
        <w:t xml:space="preserve">P. sphenops</w:t>
      </w:r>
      <w:r>
        <w:t xml:space="preserve"> </w:t>
      </w:r>
      <w:r>
        <w:t xml:space="preserve">tend to forage for longer periods in the absence of males, while males exhibit a faster pace of life strategy</w:t>
      </w:r>
      <w:r>
        <w:t xml:space="preserve"> </w:t>
      </w:r>
      <w:r>
        <w:t xml:space="preserve">(Tarka et al., 2018)</w:t>
      </w:r>
      <w:r>
        <w:t xml:space="preserve">, with more exploratory, aggressive and mate-seeking behaviour. This</w:t>
      </w:r>
      <w:r>
        <w:t xml:space="preserve"> </w:t>
      </w:r>
      <w:r>
        <w:t xml:space="preserve">‘</w:t>
      </w:r>
      <w:r>
        <w:t xml:space="preserve">pace of life</w:t>
      </w:r>
      <w:r>
        <w:t xml:space="preserve">’</w:t>
      </w:r>
      <w:r>
        <w:t xml:space="preserve"> </w:t>
      </w:r>
      <w:r>
        <w:t xml:space="preserve">in males is associated with exploratory behaviour and a tendency to have a larger home range which is likely related to active mate seeking</w:t>
      </w:r>
      <w:r>
        <w:t xml:space="preserve"> </w:t>
      </w:r>
      <w:r>
        <w:t xml:space="preserve">(Perry &amp; Garland, 2002; Todd &amp; Nowakowski, 2021)</w:t>
      </w:r>
      <w:r>
        <w:t xml:space="preserve">. Indeed, sexual differences between fishes and other aquatic animals are associated with differences in territoriality</w:t>
      </w:r>
      <w:r>
        <w:t xml:space="preserve"> </w:t>
      </w:r>
      <w:r>
        <w:t xml:space="preserve">(Matich et al., 2011)</w:t>
      </w:r>
      <w:r>
        <w:t xml:space="preserve">, morphological traits</w:t>
      </w:r>
      <w:r>
        <w:t xml:space="preserve"> </w:t>
      </w:r>
      <w:r>
        <w:t xml:space="preserve">(Cummings &amp; Mollaghan, 2006)</w:t>
      </w:r>
      <w:r>
        <w:t xml:space="preserve">, and social interactions</w:t>
      </w:r>
      <w:r>
        <w:t xml:space="preserve"> </w:t>
      </w:r>
      <w:r>
        <w:t xml:space="preserve">(Killen et al., 2016)</w:t>
      </w:r>
      <w:r>
        <w:t xml:space="preserve">. This increased sensitivity of females to temperature increases our knowledge of behavioural differences in response to environmental change and highlights the importance of considering sex as a key variable in future ecological studies.</w:t>
      </w:r>
    </w:p>
    <w:bookmarkEnd w:id="62"/>
    <w:bookmarkStart w:id="63" w:name="limitations-and-future-perspectives"/>
    <w:p>
      <w:pPr>
        <w:pStyle w:val="Heading2"/>
      </w:pPr>
      <w:r>
        <w:rPr>
          <w:rStyle w:val="SectionNumber"/>
        </w:rPr>
        <w:t xml:space="preserve">5.4</w:t>
      </w:r>
      <w:r>
        <w:tab/>
      </w:r>
      <w:r>
        <w:t xml:space="preserve">Limitations and future perspectives</w:t>
      </w:r>
    </w:p>
    <w:p>
      <w:pPr>
        <w:pStyle w:val="FirstParagraph"/>
      </w:pPr>
      <w:r>
        <w:t xml:space="preserve">While this study has provided valuable insights into the relationship between temperature, patch preference, and foraging behaviour in</w:t>
      </w:r>
      <w:r>
        <w:t xml:space="preserve"> </w:t>
      </w:r>
      <w:r>
        <w:rPr>
          <w:iCs/>
          <w:i/>
        </w:rPr>
        <w:t xml:space="preserve">Poecilia sphenops</w:t>
      </w:r>
      <w:r>
        <w:t xml:space="preserve">, there are areas for improvement that could enhance future research. First, the controlled mesocosm context of the experiment may not fully reflect natural conditions, where fishes face greater environmental variability and more complex interactions with other organisms. Also, one aspect that could improve the understanding of the feeding behaviour of</w:t>
      </w:r>
      <w:r>
        <w:t xml:space="preserve"> </w:t>
      </w:r>
      <w:r>
        <w:rPr>
          <w:iCs/>
          <w:i/>
        </w:rPr>
        <w:t xml:space="preserve">Poecilia sphenops</w:t>
      </w:r>
      <w:r>
        <w:t xml:space="preserve"> </w:t>
      </w:r>
      <w:r>
        <w:t xml:space="preserve">is the inclusion of the Standard Metabolic Rate (SMR) as a variable. SMR provides crucial information on the energetic needs of organisms, which directly influences their foraging requirements and their ability to adapt to temperature fluctuations. SMR may help to better explain inter-individual differences in foraging behaviour and responses to environmental conditions, as metabolism is the underlying mechanism linking all POLS traits</w:t>
      </w:r>
      <w:r>
        <w:t xml:space="preserve"> </w:t>
      </w:r>
      <w:r>
        <w:t xml:space="preserve">(Gopal et al., 2023)</w:t>
      </w:r>
      <w:r>
        <w:t xml:space="preserve">.</w:t>
      </w:r>
    </w:p>
    <w:bookmarkEnd w:id="63"/>
    <w:bookmarkStart w:id="64" w:name="conclusion"/>
    <w:p>
      <w:pPr>
        <w:pStyle w:val="Heading2"/>
      </w:pPr>
      <w:r>
        <w:rPr>
          <w:rStyle w:val="SectionNumber"/>
        </w:rPr>
        <w:t xml:space="preserve">5.5</w:t>
      </w:r>
      <w:r>
        <w:tab/>
      </w:r>
      <w:r>
        <w:t xml:space="preserve">Conclusion</w:t>
      </w:r>
    </w:p>
    <w:p>
      <w:pPr>
        <w:pStyle w:val="FirstParagraph"/>
      </w:pPr>
      <w:r>
        <w:t xml:space="preserve">These findings highlight the importance of temperature as a driver of metabolic and behavioural adaptations, particularly for ectotherms that rely on environmental conditions to regulate their physiological processes. Increased activity at higher temperatures and differences in response between sexes highlight how these factors need to be considered in the future to predict foraging strategies in the face of climate change. These results improve the understanding of behavioural ecology and provide useful insights for species conservation in rapidly changing environments.</w:t>
      </w:r>
    </w:p>
    <w:bookmarkEnd w:id="64"/>
    <w:bookmarkStart w:id="65" w:name="appendix-1"/>
    <w:p>
      <w:pPr>
        <w:pStyle w:val="Heading2"/>
      </w:pPr>
      <w:r>
        <w:rPr>
          <w:rStyle w:val="SectionNumber"/>
        </w:rPr>
        <w:t xml:space="preserve">5.6</w:t>
      </w:r>
      <w:r>
        <w:tab/>
      </w:r>
      <w:r>
        <w:t xml:space="preserve">Appendix</w:t>
      </w:r>
    </w:p>
    <w:p>
      <w:pPr>
        <w:pStyle w:val="FirstParagraph"/>
      </w:pPr>
      <w:r>
        <w:rPr>
          <w:iCs/>
          <w:i/>
        </w:rPr>
        <w:t xml:space="preserve">Software</w:t>
      </w:r>
      <w:r>
        <w:t xml:space="preserve">: This thesis was written using the R free software environment</w:t>
      </w:r>
      <w:r>
        <w:t xml:space="preserve"> </w:t>
      </w:r>
      <w:r>
        <w:t xml:space="preserve">(R Core Team, 2024)</w:t>
      </w:r>
      <w:r>
        <w:t xml:space="preserve"> </w:t>
      </w:r>
      <w:r>
        <w:t xml:space="preserve">using the packages rmarkdown</w:t>
      </w:r>
      <w:r>
        <w:t xml:space="preserve"> </w:t>
      </w:r>
      <w:r>
        <w:t xml:space="preserve">(Allaire et al., 2022)</w:t>
      </w:r>
      <w:r>
        <w:t xml:space="preserve">, bookdown</w:t>
      </w:r>
      <w:r>
        <w:t xml:space="preserve"> </w:t>
      </w:r>
      <w:r>
        <w:t xml:space="preserve">(Xie, 2022)</w:t>
      </w:r>
      <w:r>
        <w:t xml:space="preserve">, knitr</w:t>
      </w:r>
      <w:r>
        <w:t xml:space="preserve"> </w:t>
      </w:r>
      <w:r>
        <w:t xml:space="preserve">(Xie, 2014)</w:t>
      </w:r>
      <w:r>
        <w:t xml:space="preserve">, kableExtra</w:t>
      </w:r>
      <w:r>
        <w:t xml:space="preserve"> </w:t>
      </w:r>
      <w:r>
        <w:t xml:space="preserve">(Zhu, 2021)</w:t>
      </w:r>
      <w:r>
        <w:t xml:space="preserve">, pander</w:t>
      </w:r>
      <w:r>
        <w:t xml:space="preserve"> </w:t>
      </w:r>
      <w:r>
        <w:t xml:space="preserve">(Daróczi &amp; Tsegelskyi, 2022)</w:t>
      </w:r>
      <w:r>
        <w:t xml:space="preserve"> </w:t>
      </w:r>
      <w:r>
        <w:t xml:space="preserve">and ggplot2</w:t>
      </w:r>
      <w:r>
        <w:t xml:space="preserve"> </w:t>
      </w:r>
      <w:r>
        <w:t xml:space="preserve">(Wickham, 2016)</w:t>
      </w:r>
      <w:r>
        <w:t xml:space="preserve">.</w:t>
      </w:r>
    </w:p>
    <w:p>
      <w:pPr>
        <w:pStyle w:val="BodyText"/>
      </w:pPr>
      <w:r>
        <w:rPr>
          <w:iCs/>
          <w:i/>
        </w:rPr>
        <w:t xml:space="preserve">Data and code availability</w:t>
      </w:r>
      <w:r>
        <w:t xml:space="preserve">: Data and RMarkdown codes are publicly available in GitHub Repository [LINK HERE].</w:t>
      </w:r>
    </w:p>
    <w:p>
      <w:r>
        <w:br w:type="page"/>
      </w:r>
    </w:p>
    <w:bookmarkEnd w:id="65"/>
    <w:bookmarkEnd w:id="66"/>
    <w:bookmarkStart w:id="191" w:name="references"/>
    <w:p>
      <w:pPr>
        <w:pStyle w:val="Heading1"/>
      </w:pPr>
      <w:r>
        <w:rPr>
          <w:rStyle w:val="SectionNumber"/>
        </w:rPr>
        <w:t xml:space="preserve">6</w:t>
      </w:r>
      <w:r>
        <w:tab/>
      </w:r>
      <w:r>
        <w:t xml:space="preserve">References</w:t>
      </w:r>
    </w:p>
    <w:bookmarkStart w:id="190" w:name="refs"/>
    <w:bookmarkStart w:id="68" w:name="ref-abram2017"/>
    <w:p>
      <w:pPr>
        <w:pStyle w:val="Bibliography"/>
      </w:pPr>
      <w:r>
        <w:t xml:space="preserve">Abram, P. K., Boivin, G., Moiroux, J., &amp; Brodeur, J. (2017). Behavioural effects of temperature on ectothermic animals: unifying thermal physiology and behavioural plasticity.</w:t>
      </w:r>
      <w:r>
        <w:t xml:space="preserve"> </w:t>
      </w:r>
      <w:r>
        <w:rPr>
          <w:iCs/>
          <w:i/>
        </w:rPr>
        <w:t xml:space="preserve">Biological Reviews</w:t>
      </w:r>
      <w:r>
        <w:t xml:space="preserve">,</w:t>
      </w:r>
      <w:r>
        <w:t xml:space="preserve"> </w:t>
      </w:r>
      <w:r>
        <w:rPr>
          <w:iCs/>
          <w:i/>
        </w:rPr>
        <w:t xml:space="preserve">92</w:t>
      </w:r>
      <w:r>
        <w:t xml:space="preserve">(4), 1859–1876.</w:t>
      </w:r>
      <w:r>
        <w:t xml:space="preserve"> </w:t>
      </w:r>
      <w:hyperlink r:id="rId67">
        <w:r>
          <w:rPr>
            <w:rStyle w:val="Hyperlink"/>
          </w:rPr>
          <w:t xml:space="preserve">https://doi.org/10.1111/brv.12312</w:t>
        </w:r>
      </w:hyperlink>
    </w:p>
    <w:bookmarkEnd w:id="68"/>
    <w:bookmarkStart w:id="70" w:name="ref-allaire2022"/>
    <w:p>
      <w:pPr>
        <w:pStyle w:val="Bibliography"/>
      </w:pPr>
      <w:r>
        <w:t xml:space="preserve">Allaire, J. J., Xie, Y., McPherson, J., Luraschi, J., Ushey, K., Atkins, A., Wickham, H., Cheng, J., Chang, W., &amp; Iannone, R. (2022).</w:t>
      </w:r>
      <w:r>
        <w:t xml:space="preserve"> </w:t>
      </w:r>
      <w:r>
        <w:rPr>
          <w:iCs/>
          <w:i/>
        </w:rPr>
        <w:t xml:space="preserve">Rmarkdown: Dynamic documents for r</w:t>
      </w:r>
      <w:r>
        <w:t xml:space="preserve">.</w:t>
      </w:r>
      <w:r>
        <w:t xml:space="preserve"> </w:t>
      </w:r>
      <w:hyperlink r:id="rId69">
        <w:r>
          <w:rPr>
            <w:rStyle w:val="Hyperlink"/>
          </w:rPr>
          <w:t xml:space="preserve">https://github.com/rstudio/rmarkdown</w:t>
        </w:r>
      </w:hyperlink>
    </w:p>
    <w:bookmarkEnd w:id="70"/>
    <w:bookmarkStart w:id="72" w:name="ref-ballance2006"/>
    <w:p>
      <w:pPr>
        <w:pStyle w:val="Bibliography"/>
      </w:pPr>
      <w:r>
        <w:t xml:space="preserve">Ballance, L. T., Pitman, R. L., &amp; Fiedler, P. C. (2006). Oceanographic influences on seabirds and cetaceans of the eastern tropical Pacific: A review.</w:t>
      </w:r>
      <w:r>
        <w:t xml:space="preserve"> </w:t>
      </w:r>
      <w:r>
        <w:rPr>
          <w:iCs/>
          <w:i/>
        </w:rPr>
        <w:t xml:space="preserve">Progress in Oceanography</w:t>
      </w:r>
      <w:r>
        <w:t xml:space="preserve">,</w:t>
      </w:r>
      <w:r>
        <w:t xml:space="preserve"> </w:t>
      </w:r>
      <w:r>
        <w:rPr>
          <w:iCs/>
          <w:i/>
        </w:rPr>
        <w:t xml:space="preserve">69</w:t>
      </w:r>
      <w:r>
        <w:t xml:space="preserve">(2-4), 360–390.</w:t>
      </w:r>
      <w:r>
        <w:t xml:space="preserve"> </w:t>
      </w:r>
      <w:hyperlink r:id="rId71">
        <w:r>
          <w:rPr>
            <w:rStyle w:val="Hyperlink"/>
          </w:rPr>
          <w:t xml:space="preserve">https://doi.org/10.1016/j.pocean.2006.03.013</w:t>
        </w:r>
      </w:hyperlink>
    </w:p>
    <w:bookmarkEnd w:id="72"/>
    <w:bookmarkStart w:id="74" w:name="ref-basset1995"/>
    <w:p>
      <w:pPr>
        <w:pStyle w:val="Bibliography"/>
      </w:pPr>
      <w:r>
        <w:t xml:space="preserve">Basset, A. (1995). Body Size</w:t>
      </w:r>
      <w:r>
        <w:t xml:space="preserve">-</w:t>
      </w:r>
      <w:r>
        <w:t xml:space="preserve">Related Coexistence: An Approach Through Allometric Constraints on Home</w:t>
      </w:r>
      <w:r>
        <w:t xml:space="preserve">-</w:t>
      </w:r>
      <w:r>
        <w:t xml:space="preserve">Range Use.</w:t>
      </w:r>
      <w:r>
        <w:t xml:space="preserve"> </w:t>
      </w:r>
      <w:r>
        <w:rPr>
          <w:iCs/>
          <w:i/>
        </w:rPr>
        <w:t xml:space="preserve">Ecology</w:t>
      </w:r>
      <w:r>
        <w:t xml:space="preserve">,</w:t>
      </w:r>
      <w:r>
        <w:t xml:space="preserve"> </w:t>
      </w:r>
      <w:r>
        <w:rPr>
          <w:iCs/>
          <w:i/>
        </w:rPr>
        <w:t xml:space="preserve">76</w:t>
      </w:r>
      <w:r>
        <w:t xml:space="preserve">(4), 1027–1035.</w:t>
      </w:r>
      <w:r>
        <w:t xml:space="preserve"> </w:t>
      </w:r>
      <w:hyperlink r:id="rId73">
        <w:r>
          <w:rPr>
            <w:rStyle w:val="Hyperlink"/>
          </w:rPr>
          <w:t xml:space="preserve">https://doi.org/10.2307/1940913</w:t>
        </w:r>
      </w:hyperlink>
    </w:p>
    <w:bookmarkEnd w:id="74"/>
    <w:bookmarkStart w:id="76" w:name="ref-boulamail2025"/>
    <w:p>
      <w:pPr>
        <w:pStyle w:val="Bibliography"/>
      </w:pPr>
      <w:r>
        <w:t xml:space="preserve">Boulamail, S., Shokri, M., Cozzoli, F., Cortese, D., Basset, A., Ojelade, O., &amp; Killen, S. S. (2025).</w:t>
      </w:r>
      <w:r>
        <w:t xml:space="preserve"> </w:t>
      </w:r>
      <w:r>
        <w:rPr>
          <w:iCs/>
          <w:i/>
        </w:rPr>
        <w:t xml:space="preserve">Individual personality as source and explanation of individual variability in behaviour associated with resource acquisition, and effect of other subsidiary factors such as metabolic rate, body size, and sex exert interactive and independent effect on foraging behaviour at different temperatures in a freshwater fish</w:t>
      </w:r>
      <w:r>
        <w:t xml:space="preserve">.</w:t>
      </w:r>
      <w:r>
        <w:t xml:space="preserve"> </w:t>
      </w:r>
      <w:hyperlink r:id="rId75">
        <w:r>
          <w:rPr>
            <w:rStyle w:val="Hyperlink"/>
          </w:rPr>
          <w:t xml:space="preserve">https://doi.org/[Manuscript in preparation]</w:t>
        </w:r>
      </w:hyperlink>
    </w:p>
    <w:bookmarkEnd w:id="76"/>
    <w:bookmarkStart w:id="78" w:name="ref-brown2004"/>
    <w:p>
      <w:pPr>
        <w:pStyle w:val="Bibliography"/>
      </w:pPr>
      <w:r>
        <w:t xml:space="preserve">Brown, J. H., Gillooly, J. F., Allen, A. P., Savage, V. M., &amp; West, G. B. (2004). Toward a Metabolic Theory of Ecology.</w:t>
      </w:r>
      <w:r>
        <w:t xml:space="preserve"> </w:t>
      </w:r>
      <w:r>
        <w:rPr>
          <w:iCs/>
          <w:i/>
        </w:rPr>
        <w:t xml:space="preserve">Ecology</w:t>
      </w:r>
      <w:r>
        <w:t xml:space="preserve">,</w:t>
      </w:r>
      <w:r>
        <w:t xml:space="preserve"> </w:t>
      </w:r>
      <w:r>
        <w:rPr>
          <w:iCs/>
          <w:i/>
        </w:rPr>
        <w:t xml:space="preserve">85</w:t>
      </w:r>
      <w:r>
        <w:t xml:space="preserve">(7), 1771–1789.</w:t>
      </w:r>
      <w:r>
        <w:t xml:space="preserve"> </w:t>
      </w:r>
      <w:hyperlink r:id="rId77">
        <w:r>
          <w:rPr>
            <w:rStyle w:val="Hyperlink"/>
          </w:rPr>
          <w:t xml:space="preserve">https://doi.org/10.1890/03-9000</w:t>
        </w:r>
      </w:hyperlink>
    </w:p>
    <w:bookmarkEnd w:id="78"/>
    <w:bookmarkStart w:id="79" w:name="ref-brown1988"/>
    <w:p>
      <w:pPr>
        <w:pStyle w:val="Bibliography"/>
      </w:pPr>
      <w:r>
        <w:t xml:space="preserve">Brown, J. S., Kotler, B. P., Smith, R. J., &amp; Wirtz, W. O. (1988). The effects of owl predation on the foraging behavior of heteromyid rodents.</w:t>
      </w:r>
      <w:r>
        <w:t xml:space="preserve"> </w:t>
      </w:r>
      <w:r>
        <w:rPr>
          <w:iCs/>
          <w:i/>
        </w:rPr>
        <w:t xml:space="preserve">Oecologia</w:t>
      </w:r>
      <w:r>
        <w:t xml:space="preserve">,</w:t>
      </w:r>
      <w:r>
        <w:t xml:space="preserve"> </w:t>
      </w:r>
      <w:r>
        <w:rPr>
          <w:iCs/>
          <w:i/>
        </w:rPr>
        <w:t xml:space="preserve">76</w:t>
      </w:r>
      <w:r>
        <w:t xml:space="preserve">, 408–415.</w:t>
      </w:r>
    </w:p>
    <w:bookmarkEnd w:id="79"/>
    <w:bookmarkStart w:id="81" w:name="ref-burger2019"/>
    <w:p>
      <w:pPr>
        <w:pStyle w:val="Bibliography"/>
      </w:pPr>
      <w:r>
        <w:t xml:space="preserve">Burger, J. R., Hou, C., &amp; Brown, J. H. (2019). Toward a metabolic theory of life history.</w:t>
      </w:r>
      <w:r>
        <w:t xml:space="preserve"> </w:t>
      </w:r>
      <w:r>
        <w:rPr>
          <w:iCs/>
          <w:i/>
        </w:rPr>
        <w:t xml:space="preserve">Proceedings of the National Academy of Sciences</w:t>
      </w:r>
      <w:r>
        <w:t xml:space="preserve">,</w:t>
      </w:r>
      <w:r>
        <w:t xml:space="preserve"> </w:t>
      </w:r>
      <w:r>
        <w:rPr>
          <w:iCs/>
          <w:i/>
        </w:rPr>
        <w:t xml:space="preserve">116</w:t>
      </w:r>
      <w:r>
        <w:t xml:space="preserve">(52), 26653–26661.</w:t>
      </w:r>
      <w:r>
        <w:t xml:space="preserve"> </w:t>
      </w:r>
      <w:hyperlink r:id="rId80">
        <w:r>
          <w:rPr>
            <w:rStyle w:val="Hyperlink"/>
          </w:rPr>
          <w:t xml:space="preserve">https://doi.org/10.1073/pnas.1907702116</w:t>
        </w:r>
      </w:hyperlink>
    </w:p>
    <w:bookmarkEnd w:id="81"/>
    <w:bookmarkStart w:id="83" w:name="ref-careau2008"/>
    <w:p>
      <w:pPr>
        <w:pStyle w:val="Bibliography"/>
      </w:pPr>
      <w:r>
        <w:t xml:space="preserve">Careau, V., Thomas, D., Humphries, M. M., &amp; Réale, D. (2008). Energy metabolism and animal personality.</w:t>
      </w:r>
      <w:r>
        <w:t xml:space="preserve"> </w:t>
      </w:r>
      <w:r>
        <w:rPr>
          <w:iCs/>
          <w:i/>
        </w:rPr>
        <w:t xml:space="preserve">Oikos</w:t>
      </w:r>
      <w:r>
        <w:t xml:space="preserve">,</w:t>
      </w:r>
      <w:r>
        <w:t xml:space="preserve"> </w:t>
      </w:r>
      <w:r>
        <w:rPr>
          <w:iCs/>
          <w:i/>
        </w:rPr>
        <w:t xml:space="preserve">117</w:t>
      </w:r>
      <w:r>
        <w:t xml:space="preserve">(5), 641–653.</w:t>
      </w:r>
      <w:r>
        <w:t xml:space="preserve"> </w:t>
      </w:r>
      <w:hyperlink r:id="rId82">
        <w:r>
          <w:rPr>
            <w:rStyle w:val="Hyperlink"/>
          </w:rPr>
          <w:t xml:space="preserve">https://doi.org/10.1111/j.0030-1299.2008.16513.x</w:t>
        </w:r>
      </w:hyperlink>
    </w:p>
    <w:bookmarkEnd w:id="83"/>
    <w:bookmarkStart w:id="85" w:name="ref-charnov1974"/>
    <w:p>
      <w:pPr>
        <w:pStyle w:val="Bibliography"/>
      </w:pPr>
      <w:r>
        <w:t xml:space="preserve">Charnov, E. L., &amp; Krebs, J. R. (1974). On Clutch-Size and Fitness.</w:t>
      </w:r>
      <w:r>
        <w:t xml:space="preserve"> </w:t>
      </w:r>
      <w:r>
        <w:rPr>
          <w:iCs/>
          <w:i/>
        </w:rPr>
        <w:t xml:space="preserve">Ibis</w:t>
      </w:r>
      <w:r>
        <w:t xml:space="preserve">,</w:t>
      </w:r>
      <w:r>
        <w:t xml:space="preserve"> </w:t>
      </w:r>
      <w:r>
        <w:rPr>
          <w:iCs/>
          <w:i/>
        </w:rPr>
        <w:t xml:space="preserve">116</w:t>
      </w:r>
      <w:r>
        <w:t xml:space="preserve">(2), 217–219.</w:t>
      </w:r>
      <w:r>
        <w:t xml:space="preserve"> </w:t>
      </w:r>
      <w:hyperlink r:id="rId84">
        <w:r>
          <w:rPr>
            <w:rStyle w:val="Hyperlink"/>
          </w:rPr>
          <w:t xml:space="preserve">https://doi.org/10.1111/j.1474-919X.1974.tb00241.x</w:t>
        </w:r>
      </w:hyperlink>
    </w:p>
    <w:bookmarkEnd w:id="85"/>
    <w:bookmarkStart w:id="87" w:name="ref-chrétien2021"/>
    <w:p>
      <w:pPr>
        <w:pStyle w:val="Bibliography"/>
      </w:pPr>
      <w:r>
        <w:t xml:space="preserve">Chrétien, E., Boisclair, D., Cooke, S. J., &amp; Killen, S. S. (2021). Social Group Size and Shelter Availability Influence Individual Metabolic Traits in a Social Fish.</w:t>
      </w:r>
      <w:r>
        <w:t xml:space="preserve"> </w:t>
      </w:r>
      <w:r>
        <w:rPr>
          <w:iCs/>
          <w:i/>
        </w:rPr>
        <w:t xml:space="preserve">Integrative Organismal Biology</w:t>
      </w:r>
      <w:r>
        <w:t xml:space="preserve">,</w:t>
      </w:r>
      <w:r>
        <w:t xml:space="preserve"> </w:t>
      </w:r>
      <w:r>
        <w:rPr>
          <w:iCs/>
          <w:i/>
        </w:rPr>
        <w:t xml:space="preserve">3</w:t>
      </w:r>
      <w:r>
        <w:t xml:space="preserve">(1), obab032.</w:t>
      </w:r>
      <w:r>
        <w:t xml:space="preserve"> </w:t>
      </w:r>
      <w:hyperlink r:id="rId86">
        <w:r>
          <w:rPr>
            <w:rStyle w:val="Hyperlink"/>
          </w:rPr>
          <w:t xml:space="preserve">https://doi.org/10.1093/iob/obab032</w:t>
        </w:r>
      </w:hyperlink>
    </w:p>
    <w:bookmarkEnd w:id="87"/>
    <w:bookmarkStart w:id="89" w:name="ref-clarke2004"/>
    <w:p>
      <w:pPr>
        <w:pStyle w:val="Bibliography"/>
      </w:pPr>
      <w:r>
        <w:t xml:space="preserve">Clarke, A., &amp; Fraser, K. P. P. (2004). Why does metabolism scale with temperature?</w:t>
      </w:r>
      <w:r>
        <w:t xml:space="preserve"> </w:t>
      </w:r>
      <w:r>
        <w:rPr>
          <w:iCs/>
          <w:i/>
        </w:rPr>
        <w:t xml:space="preserve">Functional Ecology</w:t>
      </w:r>
      <w:r>
        <w:t xml:space="preserve">,</w:t>
      </w:r>
      <w:r>
        <w:t xml:space="preserve"> </w:t>
      </w:r>
      <w:r>
        <w:rPr>
          <w:iCs/>
          <w:i/>
        </w:rPr>
        <w:t xml:space="preserve">18</w:t>
      </w:r>
      <w:r>
        <w:t xml:space="preserve">(2), 243–251.</w:t>
      </w:r>
      <w:r>
        <w:t xml:space="preserve"> </w:t>
      </w:r>
      <w:hyperlink r:id="rId88">
        <w:r>
          <w:rPr>
            <w:rStyle w:val="Hyperlink"/>
          </w:rPr>
          <w:t xml:space="preserve">https://doi.org/10.1111/j.0269-8463.2004.00841.x</w:t>
        </w:r>
      </w:hyperlink>
    </w:p>
    <w:bookmarkEnd w:id="89"/>
    <w:bookmarkStart w:id="91" w:name="ref-cozzoli2018"/>
    <w:p>
      <w:pPr>
        <w:pStyle w:val="Bibliography"/>
      </w:pPr>
      <w:r>
        <w:t xml:space="preserve">Cozzoli, F., Ligetta, G., Vignes, F., &amp; Basset, A. (2018). Revisiting GUD: An empirical test of the size-dependency of patch departure behaviour.</w:t>
      </w:r>
      <w:r>
        <w:t xml:space="preserve"> </w:t>
      </w:r>
      <w:r>
        <w:rPr>
          <w:iCs/>
          <w:i/>
        </w:rPr>
        <w:t xml:space="preserve">PLOS ONE</w:t>
      </w:r>
      <w:r>
        <w:t xml:space="preserve">,</w:t>
      </w:r>
      <w:r>
        <w:t xml:space="preserve"> </w:t>
      </w:r>
      <w:r>
        <w:rPr>
          <w:iCs/>
          <w:i/>
        </w:rPr>
        <w:t xml:space="preserve">13</w:t>
      </w:r>
      <w:r>
        <w:t xml:space="preserve">(9), e0204448.</w:t>
      </w:r>
      <w:r>
        <w:t xml:space="preserve"> </w:t>
      </w:r>
      <w:hyperlink r:id="rId90">
        <w:r>
          <w:rPr>
            <w:rStyle w:val="Hyperlink"/>
          </w:rPr>
          <w:t xml:space="preserve">https://doi.org/10.1371/journal.pone.0204448</w:t>
        </w:r>
      </w:hyperlink>
    </w:p>
    <w:bookmarkEnd w:id="91"/>
    <w:bookmarkStart w:id="93" w:name="ref-cozzoli2022"/>
    <w:p>
      <w:pPr>
        <w:pStyle w:val="Bibliography"/>
      </w:pPr>
      <w:r>
        <w:t xml:space="preserve">Cozzoli, F., Shokri, M., Boulamail, S., Marrocco, V., Vignes, F., &amp; Basset, A. (2022). The size dependency of foraging behaviour: an empirical test performed on aquatic amphipods.</w:t>
      </w:r>
      <w:r>
        <w:t xml:space="preserve"> </w:t>
      </w:r>
      <w:r>
        <w:rPr>
          <w:iCs/>
          <w:i/>
        </w:rPr>
        <w:t xml:space="preserve">Oecologia</w:t>
      </w:r>
      <w:r>
        <w:t xml:space="preserve">,</w:t>
      </w:r>
      <w:r>
        <w:t xml:space="preserve"> </w:t>
      </w:r>
      <w:r>
        <w:rPr>
          <w:iCs/>
          <w:i/>
        </w:rPr>
        <w:t xml:space="preserve">199</w:t>
      </w:r>
      <w:r>
        <w:t xml:space="preserve">(2), 377–386.</w:t>
      </w:r>
      <w:r>
        <w:t xml:space="preserve"> </w:t>
      </w:r>
      <w:hyperlink r:id="rId92">
        <w:r>
          <w:rPr>
            <w:rStyle w:val="Hyperlink"/>
          </w:rPr>
          <w:t xml:space="preserve">https://doi.org/10.1007/s00442-022-05195-8</w:t>
        </w:r>
      </w:hyperlink>
    </w:p>
    <w:bookmarkEnd w:id="93"/>
    <w:bookmarkStart w:id="95" w:name="ref-cummings2006"/>
    <w:p>
      <w:pPr>
        <w:pStyle w:val="Bibliography"/>
      </w:pPr>
      <w:r>
        <w:t xml:space="preserve">Cummings, M., &amp; Mollaghan, D. (2006). Repeatability and consistency of female preference behaviours in a northern swordtail, Xiphophorus nigrensis.</w:t>
      </w:r>
      <w:r>
        <w:t xml:space="preserve"> </w:t>
      </w:r>
      <w:r>
        <w:rPr>
          <w:iCs/>
          <w:i/>
        </w:rPr>
        <w:t xml:space="preserve">Animal Behaviour</w:t>
      </w:r>
      <w:r>
        <w:t xml:space="preserve">,</w:t>
      </w:r>
      <w:r>
        <w:t xml:space="preserve"> </w:t>
      </w:r>
      <w:r>
        <w:rPr>
          <w:iCs/>
          <w:i/>
        </w:rPr>
        <w:t xml:space="preserve">72</w:t>
      </w:r>
      <w:r>
        <w:t xml:space="preserve">(1), 217–224.</w:t>
      </w:r>
      <w:r>
        <w:t xml:space="preserve"> </w:t>
      </w:r>
      <w:hyperlink r:id="rId94">
        <w:r>
          <w:rPr>
            <w:rStyle w:val="Hyperlink"/>
          </w:rPr>
          <w:t xml:space="preserve">https://doi.org/10.1016/j.anbehav.2006.01.009</w:t>
        </w:r>
      </w:hyperlink>
    </w:p>
    <w:bookmarkEnd w:id="95"/>
    <w:bookmarkStart w:id="97" w:name="ref-danchin2004"/>
    <w:p>
      <w:pPr>
        <w:pStyle w:val="Bibliography"/>
      </w:pPr>
      <w:r>
        <w:t xml:space="preserve">Danchin, É., Giraldeau, L.-A., Valone, T. J., &amp; Wagner, R. H. (2004). Public Information: From Nosy Neighbors to Cultural Evolution.</w:t>
      </w:r>
      <w:r>
        <w:t xml:space="preserve"> </w:t>
      </w:r>
      <w:r>
        <w:rPr>
          <w:iCs/>
          <w:i/>
        </w:rPr>
        <w:t xml:space="preserve">Science</w:t>
      </w:r>
      <w:r>
        <w:t xml:space="preserve">,</w:t>
      </w:r>
      <w:r>
        <w:t xml:space="preserve"> </w:t>
      </w:r>
      <w:r>
        <w:rPr>
          <w:iCs/>
          <w:i/>
        </w:rPr>
        <w:t xml:space="preserve">305</w:t>
      </w:r>
      <w:r>
        <w:t xml:space="preserve">(5683), 487–491.</w:t>
      </w:r>
      <w:r>
        <w:t xml:space="preserve"> </w:t>
      </w:r>
      <w:hyperlink r:id="rId96">
        <w:r>
          <w:rPr>
            <w:rStyle w:val="Hyperlink"/>
          </w:rPr>
          <w:t xml:space="preserve">https://doi.org/10.1126/science.1098254</w:t>
        </w:r>
      </w:hyperlink>
    </w:p>
    <w:bookmarkEnd w:id="97"/>
    <w:bookmarkStart w:id="99" w:name="ref-pander"/>
    <w:p>
      <w:pPr>
        <w:pStyle w:val="Bibliography"/>
      </w:pPr>
      <w:r>
        <w:t xml:space="preserve">Daróczi, G., &amp; Tsegelskyi, R. (2022).</w:t>
      </w:r>
      <w:r>
        <w:t xml:space="preserve"> </w:t>
      </w:r>
      <w:r>
        <w:rPr>
          <w:iCs/>
          <w:i/>
        </w:rPr>
        <w:t xml:space="preserve">Pander: An r ’pandoc’ writer</w:t>
      </w:r>
      <w:r>
        <w:t xml:space="preserve">.</w:t>
      </w:r>
      <w:r>
        <w:t xml:space="preserve"> </w:t>
      </w:r>
      <w:hyperlink r:id="rId98">
        <w:r>
          <w:rPr>
            <w:rStyle w:val="Hyperlink"/>
          </w:rPr>
          <w:t xml:space="preserve">https://CRAN.R-project.org/package=pander</w:t>
        </w:r>
      </w:hyperlink>
    </w:p>
    <w:bookmarkEnd w:id="99"/>
    <w:bookmarkStart w:id="101" w:name="ref-gil2018"/>
    <w:p>
      <w:pPr>
        <w:pStyle w:val="Bibliography"/>
      </w:pPr>
      <w:r>
        <w:t xml:space="preserve">Gil, M. A., Hein, A. M., Spiegel, O., Baskett, M. L., &amp; Sih, A. (2018). Social Information Links Individual Behavior to Population and Community Dynamics.</w:t>
      </w:r>
      <w:r>
        <w:t xml:space="preserve"> </w:t>
      </w:r>
      <w:r>
        <w:rPr>
          <w:iCs/>
          <w:i/>
        </w:rPr>
        <w:t xml:space="preserve">Trends in Ecology &amp; Evolution</w:t>
      </w:r>
      <w:r>
        <w:t xml:space="preserve">,</w:t>
      </w:r>
      <w:r>
        <w:t xml:space="preserve"> </w:t>
      </w:r>
      <w:r>
        <w:rPr>
          <w:iCs/>
          <w:i/>
        </w:rPr>
        <w:t xml:space="preserve">33</w:t>
      </w:r>
      <w:r>
        <w:t xml:space="preserve">(7), 535–548.</w:t>
      </w:r>
      <w:r>
        <w:t xml:space="preserve"> </w:t>
      </w:r>
      <w:hyperlink r:id="rId100">
        <w:r>
          <w:rPr>
            <w:rStyle w:val="Hyperlink"/>
          </w:rPr>
          <w:t xml:space="preserve">https://doi.org/10.1016/j.tree.2018.04.010</w:t>
        </w:r>
      </w:hyperlink>
    </w:p>
    <w:bookmarkEnd w:id="101"/>
    <w:bookmarkStart w:id="102" w:name="ref-glazier2008"/>
    <w:p>
      <w:pPr>
        <w:pStyle w:val="Bibliography"/>
      </w:pPr>
      <w:r>
        <w:t xml:space="preserve">Glazier, D. (2008).</w:t>
      </w:r>
      <w:r>
        <w:t xml:space="preserve"> </w:t>
      </w:r>
      <w:r>
        <w:rPr>
          <w:iCs/>
          <w:i/>
        </w:rPr>
        <w:t xml:space="preserve">Resource allocation patterns.</w:t>
      </w:r>
      <w:r>
        <w:t xml:space="preserve"> </w:t>
      </w:r>
      <w:r>
        <w:t xml:space="preserve">(p. 2243). CABI Wallingford UK.</w:t>
      </w:r>
    </w:p>
    <w:bookmarkEnd w:id="102"/>
    <w:bookmarkStart w:id="104" w:name="ref-glazier2005"/>
    <w:p>
      <w:pPr>
        <w:pStyle w:val="Bibliography"/>
      </w:pPr>
      <w:r>
        <w:t xml:space="preserve">Glazier, D. S. (2005). Beyond the</w:t>
      </w:r>
      <w:r>
        <w:t xml:space="preserve"> </w:t>
      </w:r>
      <w:r>
        <w:t xml:space="preserve">‘</w:t>
      </w:r>
      <w:r>
        <w:t xml:space="preserve">3/4-power law</w:t>
      </w:r>
      <w:r>
        <w:t xml:space="preserve">’</w:t>
      </w:r>
      <w:r>
        <w:t xml:space="preserve">: variation in the intra- and interspecific scaling of metabolic rate in animals.</w:t>
      </w:r>
      <w:r>
        <w:t xml:space="preserve"> </w:t>
      </w:r>
      <w:r>
        <w:rPr>
          <w:iCs/>
          <w:i/>
        </w:rPr>
        <w:t xml:space="preserve">Biological Reviews</w:t>
      </w:r>
      <w:r>
        <w:t xml:space="preserve">,</w:t>
      </w:r>
      <w:r>
        <w:t xml:space="preserve"> </w:t>
      </w:r>
      <w:r>
        <w:rPr>
          <w:iCs/>
          <w:i/>
        </w:rPr>
        <w:t xml:space="preserve">80</w:t>
      </w:r>
      <w:r>
        <w:t xml:space="preserve">(4), 611–662.</w:t>
      </w:r>
      <w:r>
        <w:t xml:space="preserve"> </w:t>
      </w:r>
      <w:hyperlink r:id="rId103">
        <w:r>
          <w:rPr>
            <w:rStyle w:val="Hyperlink"/>
          </w:rPr>
          <w:t xml:space="preserve">https://doi.org/10.1017/S1464793105006834</w:t>
        </w:r>
      </w:hyperlink>
    </w:p>
    <w:bookmarkEnd w:id="104"/>
    <w:bookmarkStart w:id="106" w:name="ref-glazier2014"/>
    <w:p>
      <w:pPr>
        <w:pStyle w:val="Bibliography"/>
      </w:pPr>
      <w:r>
        <w:t xml:space="preserve">Glazier, D. S. (2014a). Metabolic Scaling in Complex Living Systems.</w:t>
      </w:r>
      <w:r>
        <w:t xml:space="preserve"> </w:t>
      </w:r>
      <w:r>
        <w:rPr>
          <w:iCs/>
          <w:i/>
        </w:rPr>
        <w:t xml:space="preserve">Systems</w:t>
      </w:r>
      <w:r>
        <w:t xml:space="preserve">,</w:t>
      </w:r>
      <w:r>
        <w:t xml:space="preserve"> </w:t>
      </w:r>
      <w:r>
        <w:rPr>
          <w:iCs/>
          <w:i/>
        </w:rPr>
        <w:t xml:space="preserve">2</w:t>
      </w:r>
      <w:r>
        <w:t xml:space="preserve">(4), 451–540.</w:t>
      </w:r>
      <w:r>
        <w:t xml:space="preserve"> </w:t>
      </w:r>
      <w:hyperlink r:id="rId105">
        <w:r>
          <w:rPr>
            <w:rStyle w:val="Hyperlink"/>
          </w:rPr>
          <w:t xml:space="preserve">https://doi.org/10.3390/systems2040451</w:t>
        </w:r>
      </w:hyperlink>
    </w:p>
    <w:bookmarkEnd w:id="106"/>
    <w:bookmarkStart w:id="108" w:name="ref-glazier2014a"/>
    <w:p>
      <w:pPr>
        <w:pStyle w:val="Bibliography"/>
      </w:pPr>
      <w:r>
        <w:t xml:space="preserve">Glazier, D. S. (2014b). Scaling of Metabolic Scaling within Physical Limits.</w:t>
      </w:r>
      <w:r>
        <w:t xml:space="preserve"> </w:t>
      </w:r>
      <w:r>
        <w:rPr>
          <w:iCs/>
          <w:i/>
        </w:rPr>
        <w:t xml:space="preserve">Systems</w:t>
      </w:r>
      <w:r>
        <w:t xml:space="preserve">,</w:t>
      </w:r>
      <w:r>
        <w:t xml:space="preserve"> </w:t>
      </w:r>
      <w:r>
        <w:rPr>
          <w:iCs/>
          <w:i/>
        </w:rPr>
        <w:t xml:space="preserve">2</w:t>
      </w:r>
      <w:r>
        <w:t xml:space="preserve">(4), 425–450.</w:t>
      </w:r>
      <w:r>
        <w:t xml:space="preserve"> </w:t>
      </w:r>
      <w:hyperlink r:id="rId107">
        <w:r>
          <w:rPr>
            <w:rStyle w:val="Hyperlink"/>
          </w:rPr>
          <w:t xml:space="preserve">https://doi.org/10.3390/systems2040425</w:t>
        </w:r>
      </w:hyperlink>
    </w:p>
    <w:bookmarkEnd w:id="108"/>
    <w:bookmarkStart w:id="110" w:name="ref-glazier2015"/>
    <w:p>
      <w:pPr>
        <w:pStyle w:val="Bibliography"/>
      </w:pPr>
      <w:r>
        <w:t xml:space="preserve">Glazier, D. S. (2015). Is metabolic rate a universal</w:t>
      </w:r>
      <w:r>
        <w:t xml:space="preserve"> </w:t>
      </w:r>
      <w:r>
        <w:t xml:space="preserve">‘</w:t>
      </w:r>
      <w:r>
        <w:t xml:space="preserve">pacemaker</w:t>
      </w:r>
      <w:r>
        <w:t xml:space="preserve">’</w:t>
      </w:r>
      <w:r>
        <w:t xml:space="preserve"> </w:t>
      </w:r>
      <w:r>
        <w:t xml:space="preserve">for biological processes?</w:t>
      </w:r>
      <w:r>
        <w:t xml:space="preserve"> </w:t>
      </w:r>
      <w:r>
        <w:rPr>
          <w:iCs/>
          <w:i/>
        </w:rPr>
        <w:t xml:space="preserve">Biological Reviews</w:t>
      </w:r>
      <w:r>
        <w:t xml:space="preserve">,</w:t>
      </w:r>
      <w:r>
        <w:t xml:space="preserve"> </w:t>
      </w:r>
      <w:r>
        <w:rPr>
          <w:iCs/>
          <w:i/>
        </w:rPr>
        <w:t xml:space="preserve">90</w:t>
      </w:r>
      <w:r>
        <w:t xml:space="preserve">(2), 377–407.</w:t>
      </w:r>
      <w:r>
        <w:t xml:space="preserve"> </w:t>
      </w:r>
      <w:hyperlink r:id="rId109">
        <w:r>
          <w:rPr>
            <w:rStyle w:val="Hyperlink"/>
          </w:rPr>
          <w:t xml:space="preserve">https://doi.org/10.1111/brv.12115</w:t>
        </w:r>
      </w:hyperlink>
    </w:p>
    <w:bookmarkEnd w:id="110"/>
    <w:bookmarkStart w:id="112" w:name="ref-glazier2022"/>
    <w:p>
      <w:pPr>
        <w:pStyle w:val="Bibliography"/>
      </w:pPr>
      <w:r>
        <w:t xml:space="preserve">Glazier, D. S. (2022). Variable metabolic scaling breaks the law: from</w:t>
      </w:r>
      <w:r>
        <w:t xml:space="preserve"> </w:t>
      </w:r>
      <w:r>
        <w:t xml:space="preserve">‘</w:t>
      </w:r>
      <w:r>
        <w:t xml:space="preserve">Newtonian</w:t>
      </w:r>
      <w:r>
        <w:t xml:space="preserve">’</w:t>
      </w:r>
      <w:r>
        <w:t xml:space="preserve"> </w:t>
      </w:r>
      <w:r>
        <w:t xml:space="preserve">to</w:t>
      </w:r>
      <w:r>
        <w:t xml:space="preserve"> </w:t>
      </w:r>
      <w:r>
        <w:t xml:space="preserve">‘</w:t>
      </w:r>
      <w:r>
        <w:t xml:space="preserve">Darwinian</w:t>
      </w:r>
      <w:r>
        <w:t xml:space="preserve">’</w:t>
      </w:r>
      <w:r>
        <w:t xml:space="preserve"> </w:t>
      </w:r>
      <w:r>
        <w:t xml:space="preserve">approaches.</w:t>
      </w:r>
      <w:r>
        <w:t xml:space="preserve"> </w:t>
      </w:r>
      <w:r>
        <w:rPr>
          <w:iCs/>
          <w:i/>
        </w:rPr>
        <w:t xml:space="preserve">Proceedings of the Royal Society B: Biological Sciences</w:t>
      </w:r>
      <w:r>
        <w:t xml:space="preserve">,</w:t>
      </w:r>
      <w:r>
        <w:t xml:space="preserve"> </w:t>
      </w:r>
      <w:r>
        <w:rPr>
          <w:iCs/>
          <w:i/>
        </w:rPr>
        <w:t xml:space="preserve">289</w:t>
      </w:r>
      <w:r>
        <w:t xml:space="preserve">(1985), 20221605.</w:t>
      </w:r>
      <w:r>
        <w:t xml:space="preserve"> </w:t>
      </w:r>
      <w:hyperlink r:id="rId111">
        <w:r>
          <w:rPr>
            <w:rStyle w:val="Hyperlink"/>
          </w:rPr>
          <w:t xml:space="preserve">https://doi.org/10.1098/rspb.2022.1605</w:t>
        </w:r>
      </w:hyperlink>
    </w:p>
    <w:bookmarkEnd w:id="112"/>
    <w:bookmarkStart w:id="114" w:name="ref-gopal2023"/>
    <w:p>
      <w:pPr>
        <w:pStyle w:val="Bibliography"/>
      </w:pPr>
      <w:r>
        <w:t xml:space="preserve">Gopal, A. C., Alujević, K., &amp; Logan, M. L. (2023). Temperature and the pace of life.</w:t>
      </w:r>
      <w:r>
        <w:t xml:space="preserve"> </w:t>
      </w:r>
      <w:r>
        <w:rPr>
          <w:iCs/>
          <w:i/>
        </w:rPr>
        <w:t xml:space="preserve">Behavioral Ecology and Sociobiology</w:t>
      </w:r>
      <w:r>
        <w:t xml:space="preserve">,</w:t>
      </w:r>
      <w:r>
        <w:t xml:space="preserve"> </w:t>
      </w:r>
      <w:r>
        <w:rPr>
          <w:iCs/>
          <w:i/>
        </w:rPr>
        <w:t xml:space="preserve">77</w:t>
      </w:r>
      <w:r>
        <w:t xml:space="preserve">(5), 59.</w:t>
      </w:r>
      <w:r>
        <w:t xml:space="preserve"> </w:t>
      </w:r>
      <w:hyperlink r:id="rId113">
        <w:r>
          <w:rPr>
            <w:rStyle w:val="Hyperlink"/>
          </w:rPr>
          <w:t xml:space="preserve">https://doi.org/10.1007/s00265-023-03333-7</w:t>
        </w:r>
      </w:hyperlink>
    </w:p>
    <w:bookmarkEnd w:id="114"/>
    <w:bookmarkStart w:id="116" w:name="ref-goulet2017"/>
    <w:p>
      <w:pPr>
        <w:pStyle w:val="Bibliography"/>
      </w:pPr>
      <w:r>
        <w:t xml:space="preserve">Goulet, C. T., Thompson, M. B., &amp; Chapple, D. G. (2017). Repeatability and correlation of physiological traits: Do ectotherms have a</w:t>
      </w:r>
      <w:r>
        <w:t xml:space="preserve"> </w:t>
      </w:r>
      <w:r>
        <w:t xml:space="preserve">“</w:t>
      </w:r>
      <w:r>
        <w:t xml:space="preserve">thermal type</w:t>
      </w:r>
      <w:r>
        <w:t xml:space="preserve">”</w:t>
      </w:r>
      <w:r>
        <w:t xml:space="preserve">?</w:t>
      </w:r>
      <w:r>
        <w:t xml:space="preserve"> </w:t>
      </w:r>
      <w:r>
        <w:rPr>
          <w:iCs/>
          <w:i/>
        </w:rPr>
        <w:t xml:space="preserve">Ecology and Evolution</w:t>
      </w:r>
      <w:r>
        <w:t xml:space="preserve">,</w:t>
      </w:r>
      <w:r>
        <w:t xml:space="preserve"> </w:t>
      </w:r>
      <w:r>
        <w:rPr>
          <w:iCs/>
          <w:i/>
        </w:rPr>
        <w:t xml:space="preserve">7</w:t>
      </w:r>
      <w:r>
        <w:t xml:space="preserve">(2), 710–719.</w:t>
      </w:r>
      <w:r>
        <w:t xml:space="preserve"> </w:t>
      </w:r>
      <w:hyperlink r:id="rId115">
        <w:r>
          <w:rPr>
            <w:rStyle w:val="Hyperlink"/>
          </w:rPr>
          <w:t xml:space="preserve">https://doi.org/10.1002/ece3.2632</w:t>
        </w:r>
      </w:hyperlink>
    </w:p>
    <w:bookmarkEnd w:id="116"/>
    <w:bookmarkStart w:id="118" w:name="ref-goulet2017a"/>
    <w:p>
      <w:pPr>
        <w:pStyle w:val="Bibliography"/>
      </w:pPr>
      <w:r>
        <w:t xml:space="preserve">Goulet, C. T., Thompson, M. B., Michelangeli, M., Wong, B. B. M., &amp; Chapple, D. G. (2017). Thermal physiology: A new dimension of the pace-of-life syndrome.</w:t>
      </w:r>
      <w:r>
        <w:t xml:space="preserve"> </w:t>
      </w:r>
      <w:r>
        <w:rPr>
          <w:iCs/>
          <w:i/>
        </w:rPr>
        <w:t xml:space="preserve">Journal of Animal Ecology</w:t>
      </w:r>
      <w:r>
        <w:t xml:space="preserve">,</w:t>
      </w:r>
      <w:r>
        <w:t xml:space="preserve"> </w:t>
      </w:r>
      <w:r>
        <w:rPr>
          <w:iCs/>
          <w:i/>
        </w:rPr>
        <w:t xml:space="preserve">86</w:t>
      </w:r>
      <w:r>
        <w:t xml:space="preserve">(5), 1269–1280.</w:t>
      </w:r>
      <w:r>
        <w:t xml:space="preserve"> </w:t>
      </w:r>
      <w:hyperlink r:id="rId117">
        <w:r>
          <w:rPr>
            <w:rStyle w:val="Hyperlink"/>
          </w:rPr>
          <w:t xml:space="preserve">https://doi.org/10.1111/1365-2656.12718</w:t>
        </w:r>
      </w:hyperlink>
    </w:p>
    <w:bookmarkEnd w:id="118"/>
    <w:bookmarkStart w:id="120" w:name="ref-Holling1959"/>
    <w:p>
      <w:pPr>
        <w:pStyle w:val="Bibliography"/>
      </w:pPr>
      <w:r>
        <w:t xml:space="preserve">Holling, C. S. (1959). Some characteristics of simple types of predation and parasitism.</w:t>
      </w:r>
      <w:r>
        <w:t xml:space="preserve"> </w:t>
      </w:r>
      <w:r>
        <w:rPr>
          <w:iCs/>
          <w:i/>
        </w:rPr>
        <w:t xml:space="preserve">The Canadian Entomologist</w:t>
      </w:r>
      <w:r>
        <w:t xml:space="preserve">,</w:t>
      </w:r>
      <w:r>
        <w:t xml:space="preserve"> </w:t>
      </w:r>
      <w:r>
        <w:rPr>
          <w:iCs/>
          <w:i/>
        </w:rPr>
        <w:t xml:space="preserve">91</w:t>
      </w:r>
      <w:r>
        <w:t xml:space="preserve">, 385–398.</w:t>
      </w:r>
      <w:r>
        <w:t xml:space="preserve"> </w:t>
      </w:r>
      <w:hyperlink r:id="rId119">
        <w:r>
          <w:rPr>
            <w:rStyle w:val="Hyperlink"/>
          </w:rPr>
          <w:t xml:space="preserve">https://api.semanticscholar.org/CorpusID:83738084</w:t>
        </w:r>
      </w:hyperlink>
    </w:p>
    <w:bookmarkEnd w:id="120"/>
    <w:bookmarkStart w:id="122" w:name="ref-killen2010"/>
    <w:p>
      <w:pPr>
        <w:pStyle w:val="Bibliography"/>
      </w:pPr>
      <w:r>
        <w:t xml:space="preserve">Killen, S. S., Atkinson, D., &amp; Glazier, D. S. (2010). The intraspecific scaling of metabolic rate with body mass in fishes depends on lifestyle and temperature.</w:t>
      </w:r>
      <w:r>
        <w:t xml:space="preserve"> </w:t>
      </w:r>
      <w:r>
        <w:rPr>
          <w:iCs/>
          <w:i/>
        </w:rPr>
        <w:t xml:space="preserve">Ecology Letters</w:t>
      </w:r>
      <w:r>
        <w:t xml:space="preserve">,</w:t>
      </w:r>
      <w:r>
        <w:t xml:space="preserve"> </w:t>
      </w:r>
      <w:r>
        <w:rPr>
          <w:iCs/>
          <w:i/>
        </w:rPr>
        <w:t xml:space="preserve">13</w:t>
      </w:r>
      <w:r>
        <w:t xml:space="preserve">(2), 184–193.</w:t>
      </w:r>
      <w:r>
        <w:t xml:space="preserve"> </w:t>
      </w:r>
      <w:hyperlink r:id="rId121">
        <w:r>
          <w:rPr>
            <w:rStyle w:val="Hyperlink"/>
          </w:rPr>
          <w:t xml:space="preserve">https://doi.org/10.1111/j.1461-0248.2009.01415.x</w:t>
        </w:r>
      </w:hyperlink>
    </w:p>
    <w:bookmarkEnd w:id="122"/>
    <w:bookmarkStart w:id="124" w:name="ref-killen2021"/>
    <w:p>
      <w:pPr>
        <w:pStyle w:val="Bibliography"/>
      </w:pPr>
      <w:r>
        <w:t xml:space="preserve">Killen, S. S., Christensen, E. A. F., Cortese, D., Závorka, L., Norin, T., Cotgrove, L., Crespel, A., Munson, A., Nati, J. J. H., Papatheodoulou, M., &amp; McKenzie, D. J. (2021). Guidelines for reporting methods to estimate metabolic rates by aquatic intermittent-flow respirometry.</w:t>
      </w:r>
      <w:r>
        <w:t xml:space="preserve"> </w:t>
      </w:r>
      <w:r>
        <w:rPr>
          <w:iCs/>
          <w:i/>
        </w:rPr>
        <w:t xml:space="preserve">Journal of Experimental Biology</w:t>
      </w:r>
      <w:r>
        <w:t xml:space="preserve">,</w:t>
      </w:r>
      <w:r>
        <w:t xml:space="preserve"> </w:t>
      </w:r>
      <w:r>
        <w:rPr>
          <w:iCs/>
          <w:i/>
        </w:rPr>
        <w:t xml:space="preserve">224</w:t>
      </w:r>
      <w:r>
        <w:t xml:space="preserve">(18), jeb242522.</w:t>
      </w:r>
      <w:r>
        <w:t xml:space="preserve"> </w:t>
      </w:r>
      <w:hyperlink r:id="rId123">
        <w:r>
          <w:rPr>
            <w:rStyle w:val="Hyperlink"/>
          </w:rPr>
          <w:t xml:space="preserve">https://doi.org/10.1242/jeb.242522</w:t>
        </w:r>
      </w:hyperlink>
    </w:p>
    <w:bookmarkEnd w:id="124"/>
    <w:bookmarkStart w:id="126" w:name="ref-killen2016"/>
    <w:p>
      <w:pPr>
        <w:pStyle w:val="Bibliography"/>
      </w:pPr>
      <w:r>
        <w:t xml:space="preserve">Killen, S. S., Croft, D. P., Salin, K., &amp; Darden, S. K. (2016). Male sexually coercive behaviour drives increased swimming efficiency in female guppies.</w:t>
      </w:r>
      <w:r>
        <w:t xml:space="preserve"> </w:t>
      </w:r>
      <w:r>
        <w:rPr>
          <w:iCs/>
          <w:i/>
        </w:rPr>
        <w:t xml:space="preserve">Functional Ecology</w:t>
      </w:r>
      <w:r>
        <w:t xml:space="preserve">,</w:t>
      </w:r>
      <w:r>
        <w:t xml:space="preserve"> </w:t>
      </w:r>
      <w:r>
        <w:rPr>
          <w:iCs/>
          <w:i/>
        </w:rPr>
        <w:t xml:space="preserve">30</w:t>
      </w:r>
      <w:r>
        <w:t xml:space="preserve">(4), 576–583.</w:t>
      </w:r>
      <w:r>
        <w:t xml:space="preserve"> </w:t>
      </w:r>
      <w:hyperlink r:id="rId125">
        <w:r>
          <w:rPr>
            <w:rStyle w:val="Hyperlink"/>
          </w:rPr>
          <w:t xml:space="preserve">https://doi.org/10.1111/1365-2435.12527</w:t>
        </w:r>
      </w:hyperlink>
    </w:p>
    <w:bookmarkEnd w:id="126"/>
    <w:bookmarkStart w:id="128" w:name="ref-köhler2011"/>
    <w:p>
      <w:pPr>
        <w:pStyle w:val="Bibliography"/>
      </w:pPr>
      <w:r>
        <w:t xml:space="preserve">Köhler, A., Hildenbrand, P., Schleucher, E., Riesch, R., Arias-Rodriguez, L., Streit, B., &amp; Plath, M. (2011). Effects of male sexual harassment on female time budgets, feeding behavior, and metabolic rates in a tropical livebearing fish (Poecilia mexicana).</w:t>
      </w:r>
      <w:r>
        <w:t xml:space="preserve"> </w:t>
      </w:r>
      <w:r>
        <w:rPr>
          <w:iCs/>
          <w:i/>
        </w:rPr>
        <w:t xml:space="preserve">Behavioral Ecology and Sociobiology</w:t>
      </w:r>
      <w:r>
        <w:t xml:space="preserve">,</w:t>
      </w:r>
      <w:r>
        <w:t xml:space="preserve"> </w:t>
      </w:r>
      <w:r>
        <w:rPr>
          <w:iCs/>
          <w:i/>
        </w:rPr>
        <w:t xml:space="preserve">65</w:t>
      </w:r>
      <w:r>
        <w:t xml:space="preserve">(8), 1513–1523.</w:t>
      </w:r>
      <w:r>
        <w:t xml:space="preserve"> </w:t>
      </w:r>
      <w:hyperlink r:id="rId127">
        <w:r>
          <w:rPr>
            <w:rStyle w:val="Hyperlink"/>
          </w:rPr>
          <w:t xml:space="preserve">https://doi.org/10.1007/s00265-011-1161-y</w:t>
        </w:r>
      </w:hyperlink>
    </w:p>
    <w:bookmarkEnd w:id="128"/>
    <w:bookmarkStart w:id="129" w:name="ref-kooijman2010"/>
    <w:p>
      <w:pPr>
        <w:pStyle w:val="Bibliography"/>
      </w:pPr>
      <w:r>
        <w:t xml:space="preserve">Kooijman, S. A. L. M. (2010).</w:t>
      </w:r>
      <w:r>
        <w:t xml:space="preserve"> </w:t>
      </w:r>
      <w:r>
        <w:rPr>
          <w:iCs/>
          <w:i/>
        </w:rPr>
        <w:t xml:space="preserve">Dynamic energy budget theory for metabolic organisation</w:t>
      </w:r>
      <w:r>
        <w:t xml:space="preserve"> </w:t>
      </w:r>
      <w:r>
        <w:t xml:space="preserve">(Third Edition). Cambridge University Press.</w:t>
      </w:r>
    </w:p>
    <w:bookmarkEnd w:id="129"/>
    <w:bookmarkStart w:id="131" w:name="ref-longo2019"/>
    <w:p>
      <w:pPr>
        <w:pStyle w:val="Bibliography"/>
      </w:pPr>
      <w:r>
        <w:t xml:space="preserve">Longo, G. O., Hay, M. E., Ferreira, C. E. L., &amp; Floeter, S. R. (2019). Trophic interactions across 61 degrees of latitude in the Western Atlantic.</w:t>
      </w:r>
      <w:r>
        <w:t xml:space="preserve"> </w:t>
      </w:r>
      <w:r>
        <w:rPr>
          <w:iCs/>
          <w:i/>
        </w:rPr>
        <w:t xml:space="preserve">Global Ecology and Biogeography</w:t>
      </w:r>
      <w:r>
        <w:t xml:space="preserve">,</w:t>
      </w:r>
      <w:r>
        <w:t xml:space="preserve"> </w:t>
      </w:r>
      <w:r>
        <w:rPr>
          <w:iCs/>
          <w:i/>
        </w:rPr>
        <w:t xml:space="preserve">28</w:t>
      </w:r>
      <w:r>
        <w:t xml:space="preserve">(2), 107–117.</w:t>
      </w:r>
      <w:r>
        <w:t xml:space="preserve"> </w:t>
      </w:r>
      <w:hyperlink r:id="rId130">
        <w:r>
          <w:rPr>
            <w:rStyle w:val="Hyperlink"/>
          </w:rPr>
          <w:t xml:space="preserve">https://doi.org/10.1111/geb.12806</w:t>
        </w:r>
      </w:hyperlink>
    </w:p>
    <w:bookmarkEnd w:id="131"/>
    <w:bookmarkStart w:id="133" w:name="ref-loreau2010"/>
    <w:p>
      <w:pPr>
        <w:pStyle w:val="Bibliography"/>
      </w:pPr>
      <w:r>
        <w:t xml:space="preserve">Loreau, M. (2010).</w:t>
      </w:r>
      <w:r>
        <w:t xml:space="preserve"> </w:t>
      </w:r>
      <w:r>
        <w:rPr>
          <w:iCs/>
          <w:i/>
        </w:rPr>
        <w:t xml:space="preserve">From Populations to Ecosystems: Theoretical Foundations for a New Ecological Synthesis</w:t>
      </w:r>
      <w:r>
        <w:t xml:space="preserve">. Princeton University Press.</w:t>
      </w:r>
      <w:r>
        <w:t xml:space="preserve"> </w:t>
      </w:r>
      <w:hyperlink r:id="rId132">
        <w:r>
          <w:rPr>
            <w:rStyle w:val="Hyperlink"/>
          </w:rPr>
          <w:t xml:space="preserve">https://doi.org/10.1515/9781400834167</w:t>
        </w:r>
      </w:hyperlink>
    </w:p>
    <w:bookmarkEnd w:id="133"/>
    <w:bookmarkStart w:id="134" w:name="ref-macarthur1966"/>
    <w:p>
      <w:pPr>
        <w:pStyle w:val="Bibliography"/>
      </w:pPr>
      <w:r>
        <w:t xml:space="preserve">MacArthur, R. H., &amp; Pianka, E. R. (1966). On optimal use of a patchy environment.</w:t>
      </w:r>
      <w:r>
        <w:t xml:space="preserve"> </w:t>
      </w:r>
      <w:r>
        <w:rPr>
          <w:iCs/>
          <w:i/>
        </w:rPr>
        <w:t xml:space="preserve">The American Naturalist</w:t>
      </w:r>
      <w:r>
        <w:t xml:space="preserve">,</w:t>
      </w:r>
      <w:r>
        <w:t xml:space="preserve"> </w:t>
      </w:r>
      <w:r>
        <w:rPr>
          <w:iCs/>
          <w:i/>
        </w:rPr>
        <w:t xml:space="preserve">100</w:t>
      </w:r>
      <w:r>
        <w:t xml:space="preserve">(916), 603–609.</w:t>
      </w:r>
    </w:p>
    <w:bookmarkEnd w:id="134"/>
    <w:bookmarkStart w:id="136" w:name="ref-matich2011"/>
    <w:p>
      <w:pPr>
        <w:pStyle w:val="Bibliography"/>
      </w:pPr>
      <w:r>
        <w:t xml:space="preserve">Matich, P., Heithaus, M. R., &amp; Layman, C. A. (2011). Contrasting patterns of individual specialization and trophic coupling in two marine apex predators: Specialization in top marine predators.</w:t>
      </w:r>
      <w:r>
        <w:t xml:space="preserve"> </w:t>
      </w:r>
      <w:r>
        <w:rPr>
          <w:iCs/>
          <w:i/>
        </w:rPr>
        <w:t xml:space="preserve">Journal of Animal Ecology</w:t>
      </w:r>
      <w:r>
        <w:t xml:space="preserve">,</w:t>
      </w:r>
      <w:r>
        <w:t xml:space="preserve"> </w:t>
      </w:r>
      <w:r>
        <w:rPr>
          <w:iCs/>
          <w:i/>
        </w:rPr>
        <w:t xml:space="preserve">80</w:t>
      </w:r>
      <w:r>
        <w:t xml:space="preserve">(1), 294–305.</w:t>
      </w:r>
      <w:r>
        <w:t xml:space="preserve"> </w:t>
      </w:r>
      <w:hyperlink r:id="rId135">
        <w:r>
          <w:rPr>
            <w:rStyle w:val="Hyperlink"/>
          </w:rPr>
          <w:t xml:space="preserve">https://doi.org/10.1111/j.1365-2656.2010.01753.x</w:t>
        </w:r>
      </w:hyperlink>
    </w:p>
    <w:bookmarkEnd w:id="136"/>
    <w:bookmarkStart w:id="137" w:name="ref-may1979"/>
    <w:p>
      <w:pPr>
        <w:pStyle w:val="Bibliography"/>
      </w:pPr>
      <w:r>
        <w:t xml:space="preserve">May, M. L. (1979). Insect thermoregulation.</w:t>
      </w:r>
      <w:r>
        <w:t xml:space="preserve"> </w:t>
      </w:r>
      <w:r>
        <w:rPr>
          <w:iCs/>
          <w:i/>
        </w:rPr>
        <w:t xml:space="preserve">Annual Review of Entomology</w:t>
      </w:r>
      <w:r>
        <w:t xml:space="preserve">,</w:t>
      </w:r>
      <w:r>
        <w:t xml:space="preserve"> </w:t>
      </w:r>
      <w:r>
        <w:rPr>
          <w:iCs/>
          <w:i/>
        </w:rPr>
        <w:t xml:space="preserve">24</w:t>
      </w:r>
      <w:r>
        <w:t xml:space="preserve">, 313–349.</w:t>
      </w:r>
    </w:p>
    <w:bookmarkEnd w:id="137"/>
    <w:bookmarkStart w:id="139" w:name="ref-montiglio2018"/>
    <w:p>
      <w:pPr>
        <w:pStyle w:val="Bibliography"/>
      </w:pPr>
      <w:r>
        <w:t xml:space="preserve">Montiglio, P.-O., Dammhahn, M., Dubuc Messier, G., &amp; Réale, D. (2018). The pace-of-life syndrome revisited: the role of ecological conditions and natural history on the slow-fast continuum.</w:t>
      </w:r>
      <w:r>
        <w:t xml:space="preserve"> </w:t>
      </w:r>
      <w:r>
        <w:rPr>
          <w:iCs/>
          <w:i/>
        </w:rPr>
        <w:t xml:space="preserve">Behavioral Ecology and Sociobiology</w:t>
      </w:r>
      <w:r>
        <w:t xml:space="preserve">,</w:t>
      </w:r>
      <w:r>
        <w:t xml:space="preserve"> </w:t>
      </w:r>
      <w:r>
        <w:rPr>
          <w:iCs/>
          <w:i/>
        </w:rPr>
        <w:t xml:space="preserve">72</w:t>
      </w:r>
      <w:r>
        <w:t xml:space="preserve">(7), 116.</w:t>
      </w:r>
      <w:r>
        <w:t xml:space="preserve"> </w:t>
      </w:r>
      <w:hyperlink r:id="rId138">
        <w:r>
          <w:rPr>
            <w:rStyle w:val="Hyperlink"/>
          </w:rPr>
          <w:t xml:space="preserve">https://doi.org/10.1007/s00265-018-2526-2</w:t>
        </w:r>
      </w:hyperlink>
    </w:p>
    <w:bookmarkEnd w:id="139"/>
    <w:bookmarkStart w:id="141" w:name="ref-morowitz2000"/>
    <w:p>
      <w:pPr>
        <w:pStyle w:val="Bibliography"/>
      </w:pPr>
      <w:r>
        <w:t xml:space="preserve">Morowitz, H. J., Kostelnik, J. D., Yang, J., &amp; Cody, G. D. (2000). The origin of intermediary metabolism.</w:t>
      </w:r>
      <w:r>
        <w:t xml:space="preserve"> </w:t>
      </w:r>
      <w:r>
        <w:rPr>
          <w:iCs/>
          <w:i/>
        </w:rPr>
        <w:t xml:space="preserve">Proceedings of the National Academy of Sciences</w:t>
      </w:r>
      <w:r>
        <w:t xml:space="preserve">,</w:t>
      </w:r>
      <w:r>
        <w:t xml:space="preserve"> </w:t>
      </w:r>
      <w:r>
        <w:rPr>
          <w:iCs/>
          <w:i/>
        </w:rPr>
        <w:t xml:space="preserve">97</w:t>
      </w:r>
      <w:r>
        <w:t xml:space="preserve">(14), 7704–7708.</w:t>
      </w:r>
      <w:r>
        <w:t xml:space="preserve"> </w:t>
      </w:r>
      <w:hyperlink r:id="rId140">
        <w:r>
          <w:rPr>
            <w:rStyle w:val="Hyperlink"/>
          </w:rPr>
          <w:t xml:space="preserve">https://doi.org/10.1073/pnas.110153997</w:t>
        </w:r>
      </w:hyperlink>
    </w:p>
    <w:bookmarkEnd w:id="141"/>
    <w:bookmarkStart w:id="143" w:name="ref-morozov2019"/>
    <w:p>
      <w:pPr>
        <w:pStyle w:val="Bibliography"/>
      </w:pPr>
      <w:r>
        <w:t xml:space="preserve">Morozov, S., McCairns, R. J. S., &amp; Merilä, J. (2019). FishResp: R package and GUI application for analysis of aquatic respirometry data.</w:t>
      </w:r>
      <w:r>
        <w:t xml:space="preserve"> </w:t>
      </w:r>
      <w:r>
        <w:rPr>
          <w:iCs/>
          <w:i/>
        </w:rPr>
        <w:t xml:space="preserve">Conservation Physiology</w:t>
      </w:r>
      <w:r>
        <w:t xml:space="preserve">,</w:t>
      </w:r>
      <w:r>
        <w:t xml:space="preserve"> </w:t>
      </w:r>
      <w:r>
        <w:rPr>
          <w:iCs/>
          <w:i/>
        </w:rPr>
        <w:t xml:space="preserve">7</w:t>
      </w:r>
      <w:r>
        <w:t xml:space="preserve">(1).</w:t>
      </w:r>
      <w:r>
        <w:t xml:space="preserve"> </w:t>
      </w:r>
      <w:hyperlink r:id="rId142">
        <w:r>
          <w:rPr>
            <w:rStyle w:val="Hyperlink"/>
          </w:rPr>
          <w:t xml:space="preserve">https://doi.org/10.1093/conphys/coz003</w:t>
        </w:r>
      </w:hyperlink>
    </w:p>
    <w:bookmarkEnd w:id="143"/>
    <w:bookmarkStart w:id="145" w:name="ref-nunes2021"/>
    <w:p>
      <w:pPr>
        <w:pStyle w:val="Bibliography"/>
      </w:pPr>
      <w:r>
        <w:t xml:space="preserve">Nunes, L. T., Barneche, D. R., Lastrucci, N. S., Fraga, A. A., Nunes, J. A. C. C., Ferreira, C. E. L., &amp; Floeter, S. R. (2021). Predicting the effects of body size, temperature and diet on animal feeding rates.</w:t>
      </w:r>
      <w:r>
        <w:t xml:space="preserve"> </w:t>
      </w:r>
      <w:r>
        <w:rPr>
          <w:iCs/>
          <w:i/>
        </w:rPr>
        <w:t xml:space="preserve">Functional Ecology</w:t>
      </w:r>
      <w:r>
        <w:t xml:space="preserve">,</w:t>
      </w:r>
      <w:r>
        <w:t xml:space="preserve"> </w:t>
      </w:r>
      <w:r>
        <w:rPr>
          <w:iCs/>
          <w:i/>
        </w:rPr>
        <w:t xml:space="preserve">35</w:t>
      </w:r>
      <w:r>
        <w:t xml:space="preserve">(10), 2229–2240.</w:t>
      </w:r>
      <w:r>
        <w:t xml:space="preserve"> </w:t>
      </w:r>
      <w:hyperlink r:id="rId144">
        <w:r>
          <w:rPr>
            <w:rStyle w:val="Hyperlink"/>
          </w:rPr>
          <w:t xml:space="preserve">https://doi.org/10.1111/1365-2435.13872</w:t>
        </w:r>
      </w:hyperlink>
    </w:p>
    <w:bookmarkEnd w:id="145"/>
    <w:bookmarkStart w:id="147" w:name="ref-oconnor2019"/>
    <w:p>
      <w:pPr>
        <w:pStyle w:val="Bibliography"/>
      </w:pPr>
      <w:r>
        <w:t xml:space="preserve">O’Connor, M. I., Pennell, M. W., Altermatt, F., Matthews, B., Melián, C. J., &amp; Gonzalez, A. (2019). Principles of Ecology Revisited: Integrating Information and Ecological Theories for a More Unified Science.</w:t>
      </w:r>
      <w:r>
        <w:t xml:space="preserve"> </w:t>
      </w:r>
      <w:r>
        <w:rPr>
          <w:iCs/>
          <w:i/>
        </w:rPr>
        <w:t xml:space="preserve">Frontiers in Ecology and Evolution</w:t>
      </w:r>
      <w:r>
        <w:t xml:space="preserve">,</w:t>
      </w:r>
      <w:r>
        <w:t xml:space="preserve"> </w:t>
      </w:r>
      <w:r>
        <w:rPr>
          <w:iCs/>
          <w:i/>
        </w:rPr>
        <w:t xml:space="preserve">7</w:t>
      </w:r>
      <w:r>
        <w:t xml:space="preserve">, 219.</w:t>
      </w:r>
      <w:r>
        <w:t xml:space="preserve"> </w:t>
      </w:r>
      <w:hyperlink r:id="rId146">
        <w:r>
          <w:rPr>
            <w:rStyle w:val="Hyperlink"/>
          </w:rPr>
          <w:t xml:space="preserve">https://doi.org/10.3389/fevo.2019.00219</w:t>
        </w:r>
      </w:hyperlink>
    </w:p>
    <w:bookmarkEnd w:id="147"/>
    <w:bookmarkStart w:id="149" w:name="ref-perry2002"/>
    <w:p>
      <w:pPr>
        <w:pStyle w:val="Bibliography"/>
      </w:pPr>
      <w:r>
        <w:t xml:space="preserve">Perry, G., &amp; Garland, T. (2002). LIZARD HOME RANGES REVISITED: EFFECTS OF SEX, BODY SIZE, DIET, HABITAT, AND PHYLOGENY.</w:t>
      </w:r>
      <w:r>
        <w:t xml:space="preserve"> </w:t>
      </w:r>
      <w:r>
        <w:rPr>
          <w:iCs/>
          <w:i/>
        </w:rPr>
        <w:t xml:space="preserve">Ecology</w:t>
      </w:r>
      <w:r>
        <w:t xml:space="preserve">,</w:t>
      </w:r>
      <w:r>
        <w:t xml:space="preserve"> </w:t>
      </w:r>
      <w:r>
        <w:rPr>
          <w:iCs/>
          <w:i/>
        </w:rPr>
        <w:t xml:space="preserve">83</w:t>
      </w:r>
      <w:r>
        <w:t xml:space="preserve">(7), 1870–1885.</w:t>
      </w:r>
      <w:r>
        <w:t xml:space="preserve"> </w:t>
      </w:r>
      <w:hyperlink r:id="rId148">
        <w:r>
          <w:rPr>
            <w:rStyle w:val="Hyperlink"/>
          </w:rPr>
          <w:t xml:space="preserve">https://doi.org/10.1890/0012-9658(2002)083[1870:LHRREO]2.0.CO;2</w:t>
        </w:r>
      </w:hyperlink>
    </w:p>
    <w:bookmarkEnd w:id="149"/>
    <w:bookmarkStart w:id="151" w:name="ref-pianka1970"/>
    <w:p>
      <w:pPr>
        <w:pStyle w:val="Bibliography"/>
      </w:pPr>
      <w:r>
        <w:t xml:space="preserve">Pianka, E. R. (1970). On r- and K-Selection.</w:t>
      </w:r>
      <w:r>
        <w:t xml:space="preserve"> </w:t>
      </w:r>
      <w:r>
        <w:rPr>
          <w:iCs/>
          <w:i/>
        </w:rPr>
        <w:t xml:space="preserve">The American Naturalist</w:t>
      </w:r>
      <w:r>
        <w:t xml:space="preserve">,</w:t>
      </w:r>
      <w:r>
        <w:t xml:space="preserve"> </w:t>
      </w:r>
      <w:r>
        <w:rPr>
          <w:iCs/>
          <w:i/>
        </w:rPr>
        <w:t xml:space="preserve">104</w:t>
      </w:r>
      <w:r>
        <w:t xml:space="preserve">(940), 592–597.</w:t>
      </w:r>
      <w:r>
        <w:t xml:space="preserve"> </w:t>
      </w:r>
      <w:hyperlink r:id="rId150">
        <w:r>
          <w:rPr>
            <w:rStyle w:val="Hyperlink"/>
          </w:rPr>
          <w:t xml:space="preserve">https://doi.org/10.1086/282697</w:t>
        </w:r>
      </w:hyperlink>
    </w:p>
    <w:bookmarkEnd w:id="151"/>
    <w:bookmarkStart w:id="153" w:name="ref-base"/>
    <w:p>
      <w:pPr>
        <w:pStyle w:val="Bibliography"/>
      </w:pPr>
      <w:r>
        <w:t xml:space="preserve">R Core Team. (2024).</w:t>
      </w:r>
      <w:r>
        <w:t xml:space="preserve"> </w:t>
      </w:r>
      <w:r>
        <w:rPr>
          <w:iCs/>
          <w:i/>
        </w:rPr>
        <w:t xml:space="preserve">R: A language and environment for statistical computing</w:t>
      </w:r>
      <w:r>
        <w:t xml:space="preserve">.</w:t>
      </w:r>
      <w:r>
        <w:t xml:space="preserve"> </w:t>
      </w:r>
      <w:hyperlink r:id="rId152">
        <w:r>
          <w:rPr>
            <w:rStyle w:val="Hyperlink"/>
          </w:rPr>
          <w:t xml:space="preserve">https://www.R-project.org/</w:t>
        </w:r>
      </w:hyperlink>
    </w:p>
    <w:bookmarkEnd w:id="153"/>
    <w:bookmarkStart w:id="155" w:name="ref-réale2010"/>
    <w:p>
      <w:pPr>
        <w:pStyle w:val="Bibliography"/>
      </w:pPr>
      <w:r>
        <w:t xml:space="preserve">Réale, D., Garant, D., Humphries, M. M., Bergeron, P., Careau, V., &amp; Montiglio, P.-O. (2010). Personality and the emergence of the pace-of-life syndrome concept at the population level.</w:t>
      </w:r>
      <w:r>
        <w:t xml:space="preserve"> </w:t>
      </w:r>
      <w:r>
        <w:rPr>
          <w:iCs/>
          <w:i/>
        </w:rPr>
        <w:t xml:space="preserve">Philosophical Transactions of the Royal Society B: Biological Sciences</w:t>
      </w:r>
      <w:r>
        <w:t xml:space="preserve">,</w:t>
      </w:r>
      <w:r>
        <w:t xml:space="preserve"> </w:t>
      </w:r>
      <w:r>
        <w:rPr>
          <w:iCs/>
          <w:i/>
        </w:rPr>
        <w:t xml:space="preserve">365</w:t>
      </w:r>
      <w:r>
        <w:t xml:space="preserve">(1560), 4051–4063.</w:t>
      </w:r>
      <w:r>
        <w:t xml:space="preserve"> </w:t>
      </w:r>
      <w:hyperlink r:id="rId154">
        <w:r>
          <w:rPr>
            <w:rStyle w:val="Hyperlink"/>
          </w:rPr>
          <w:t xml:space="preserve">https://doi.org/10.1098/rstb.2010.0208</w:t>
        </w:r>
      </w:hyperlink>
    </w:p>
    <w:bookmarkEnd w:id="155"/>
    <w:bookmarkStart w:id="157" w:name="ref-réale2007"/>
    <w:p>
      <w:pPr>
        <w:pStyle w:val="Bibliography"/>
      </w:pPr>
      <w:r>
        <w:t xml:space="preserve">Réale, D., Reader, S. M., Sol, D., McDougall, P. T., &amp; Dingemanse, N. J. (2007). Integrating animal temperament within ecology and evolution.</w:t>
      </w:r>
      <w:r>
        <w:t xml:space="preserve"> </w:t>
      </w:r>
      <w:r>
        <w:rPr>
          <w:iCs/>
          <w:i/>
        </w:rPr>
        <w:t xml:space="preserve">Biological Reviews</w:t>
      </w:r>
      <w:r>
        <w:t xml:space="preserve">,</w:t>
      </w:r>
      <w:r>
        <w:t xml:space="preserve"> </w:t>
      </w:r>
      <w:r>
        <w:rPr>
          <w:iCs/>
          <w:i/>
        </w:rPr>
        <w:t xml:space="preserve">82</w:t>
      </w:r>
      <w:r>
        <w:t xml:space="preserve">(2), 291–318.</w:t>
      </w:r>
      <w:r>
        <w:t xml:space="preserve"> </w:t>
      </w:r>
      <w:hyperlink r:id="rId156">
        <w:r>
          <w:rPr>
            <w:rStyle w:val="Hyperlink"/>
          </w:rPr>
          <w:t xml:space="preserve">https://doi.org/10.1111/j.1469-185X.2007.00010.x</w:t>
        </w:r>
      </w:hyperlink>
    </w:p>
    <w:bookmarkEnd w:id="157"/>
    <w:bookmarkStart w:id="159" w:name="ref-ricklefs2002"/>
    <w:p>
      <w:pPr>
        <w:pStyle w:val="Bibliography"/>
      </w:pPr>
      <w:r>
        <w:t xml:space="preserve">Ricklefs, R. E., &amp; Wikelski, M. (2002). The physiology/life-history nexus.</w:t>
      </w:r>
      <w:r>
        <w:t xml:space="preserve"> </w:t>
      </w:r>
      <w:r>
        <w:rPr>
          <w:iCs/>
          <w:i/>
        </w:rPr>
        <w:t xml:space="preserve">Trends in Ecology &amp; Evolution</w:t>
      </w:r>
      <w:r>
        <w:t xml:space="preserve">,</w:t>
      </w:r>
      <w:r>
        <w:t xml:space="preserve"> </w:t>
      </w:r>
      <w:r>
        <w:rPr>
          <w:iCs/>
          <w:i/>
        </w:rPr>
        <w:t xml:space="preserve">17</w:t>
      </w:r>
      <w:r>
        <w:t xml:space="preserve">(10), 462–468.</w:t>
      </w:r>
      <w:r>
        <w:t xml:space="preserve"> </w:t>
      </w:r>
      <w:hyperlink r:id="rId158">
        <w:r>
          <w:rPr>
            <w:rStyle w:val="Hyperlink"/>
          </w:rPr>
          <w:t xml:space="preserve">https://doi.org/10.1016/S0169-5347(02)02578-8</w:t>
        </w:r>
      </w:hyperlink>
    </w:p>
    <w:bookmarkEnd w:id="159"/>
    <w:bookmarkStart w:id="161" w:name="ref-sarà2014"/>
    <w:p>
      <w:pPr>
        <w:pStyle w:val="Bibliography"/>
      </w:pPr>
      <w:r>
        <w:t xml:space="preserve">Sarà, G., Rinaldi, A., &amp; Montalto, V. (2014). Thinking beyond organism energy use: a trait</w:t>
      </w:r>
      <w:r>
        <w:t xml:space="preserve">-</w:t>
      </w:r>
      <w:r>
        <w:t xml:space="preserve">based bioenergetic mechanistic approach for predictions of life history traits in marine organisms.</w:t>
      </w:r>
      <w:r>
        <w:t xml:space="preserve"> </w:t>
      </w:r>
      <w:r>
        <w:rPr>
          <w:iCs/>
          <w:i/>
        </w:rPr>
        <w:t xml:space="preserve">Marine Ecology</w:t>
      </w:r>
      <w:r>
        <w:t xml:space="preserve">,</w:t>
      </w:r>
      <w:r>
        <w:t xml:space="preserve"> </w:t>
      </w:r>
      <w:r>
        <w:rPr>
          <w:iCs/>
          <w:i/>
        </w:rPr>
        <w:t xml:space="preserve">35</w:t>
      </w:r>
      <w:r>
        <w:t xml:space="preserve">(4), 506–515.</w:t>
      </w:r>
      <w:r>
        <w:t xml:space="preserve"> </w:t>
      </w:r>
      <w:hyperlink r:id="rId160">
        <w:r>
          <w:rPr>
            <w:rStyle w:val="Hyperlink"/>
          </w:rPr>
          <w:t xml:space="preserve">https://doi.org/10.1111/maec.12106</w:t>
        </w:r>
      </w:hyperlink>
    </w:p>
    <w:bookmarkEnd w:id="161"/>
    <w:bookmarkStart w:id="163" w:name="ref-schilling2000"/>
    <w:p>
      <w:pPr>
        <w:pStyle w:val="Bibliography"/>
      </w:pPr>
      <w:r>
        <w:t xml:space="preserve">Schilling, C. H., Letscher, D., &amp; Palsson, B. Ø. (2000). Theory for the Systemic Definition of Metabolic Pathways and their use in Interpreting Metabolic Function from a Pathway-Oriented Perspective.</w:t>
      </w:r>
      <w:r>
        <w:t xml:space="preserve"> </w:t>
      </w:r>
      <w:r>
        <w:rPr>
          <w:iCs/>
          <w:i/>
        </w:rPr>
        <w:t xml:space="preserve">Journal of Theoretical Biology</w:t>
      </w:r>
      <w:r>
        <w:t xml:space="preserve">,</w:t>
      </w:r>
      <w:r>
        <w:t xml:space="preserve"> </w:t>
      </w:r>
      <w:r>
        <w:rPr>
          <w:iCs/>
          <w:i/>
        </w:rPr>
        <w:t xml:space="preserve">203</w:t>
      </w:r>
      <w:r>
        <w:t xml:space="preserve">(3), 229–248.</w:t>
      </w:r>
      <w:r>
        <w:t xml:space="preserve"> </w:t>
      </w:r>
      <w:hyperlink r:id="rId162">
        <w:r>
          <w:rPr>
            <w:rStyle w:val="Hyperlink"/>
          </w:rPr>
          <w:t xml:space="preserve">https://doi.org/10.1006/jtbi.2000.1073</w:t>
        </w:r>
      </w:hyperlink>
    </w:p>
    <w:bookmarkEnd w:id="163"/>
    <w:bookmarkStart w:id="165" w:name="ref-shine2005"/>
    <w:p>
      <w:pPr>
        <w:pStyle w:val="Bibliography"/>
      </w:pPr>
      <w:r>
        <w:t xml:space="preserve">Shine, R. (2005). Life-History Evolution in Reptiles.</w:t>
      </w:r>
      <w:r>
        <w:t xml:space="preserve"> </w:t>
      </w:r>
      <w:r>
        <w:rPr>
          <w:iCs/>
          <w:i/>
        </w:rPr>
        <w:t xml:space="preserve">Annual Review of Ecology, Evolution, and Systematics</w:t>
      </w:r>
      <w:r>
        <w:t xml:space="preserve">,</w:t>
      </w:r>
      <w:r>
        <w:t xml:space="preserve"> </w:t>
      </w:r>
      <w:r>
        <w:rPr>
          <w:iCs/>
          <w:i/>
        </w:rPr>
        <w:t xml:space="preserve">36</w:t>
      </w:r>
      <w:r>
        <w:t xml:space="preserve">(Volume 36, 2005), 23–46.</w:t>
      </w:r>
      <w:r>
        <w:t xml:space="preserve"> </w:t>
      </w:r>
      <w:hyperlink r:id="rId164">
        <w:r>
          <w:rPr>
            <w:rStyle w:val="Hyperlink"/>
          </w:rPr>
          <w:t xml:space="preserve">https://doi.org/10.1146/annurev.ecolsys.36.102003.152631</w:t>
        </w:r>
      </w:hyperlink>
    </w:p>
    <w:bookmarkEnd w:id="165"/>
    <w:bookmarkStart w:id="167" w:name="ref-shokri2024"/>
    <w:p>
      <w:pPr>
        <w:pStyle w:val="Bibliography"/>
      </w:pPr>
      <w:r>
        <w:t xml:space="preserve">Shokri, M., Cozzoli, F., &amp; Basset, A. (2024). Metabolic rate and foraging behaviour: a mechanistic link across body size and temperature gradients.</w:t>
      </w:r>
      <w:r>
        <w:t xml:space="preserve"> </w:t>
      </w:r>
      <w:r>
        <w:rPr>
          <w:iCs/>
          <w:i/>
        </w:rPr>
        <w:t xml:space="preserve">Oikos</w:t>
      </w:r>
      <w:r>
        <w:t xml:space="preserve">, e10817.</w:t>
      </w:r>
      <w:r>
        <w:t xml:space="preserve"> </w:t>
      </w:r>
      <w:hyperlink r:id="rId166">
        <w:r>
          <w:rPr>
            <w:rStyle w:val="Hyperlink"/>
          </w:rPr>
          <w:t xml:space="preserve">https://doi.org/10.1111/oik.10817</w:t>
        </w:r>
      </w:hyperlink>
    </w:p>
    <w:bookmarkEnd w:id="167"/>
    <w:bookmarkStart w:id="169" w:name="ref-svendsen2016"/>
    <w:p>
      <w:pPr>
        <w:pStyle w:val="Bibliography"/>
      </w:pPr>
      <w:r>
        <w:t xml:space="preserve">Svendsen, M. B. S., Bushnell, P. G., &amp; Steffensen, J. F. (2016). Design and setup of intermittent</w:t>
      </w:r>
      <w:r>
        <w:t xml:space="preserve">-</w:t>
      </w:r>
      <w:r>
        <w:t xml:space="preserve">flow respirometry system for aquatic organisms.</w:t>
      </w:r>
      <w:r>
        <w:t xml:space="preserve"> </w:t>
      </w:r>
      <w:r>
        <w:rPr>
          <w:iCs/>
          <w:i/>
        </w:rPr>
        <w:t xml:space="preserve">Journal of Fish Biology</w:t>
      </w:r>
      <w:r>
        <w:t xml:space="preserve">,</w:t>
      </w:r>
      <w:r>
        <w:t xml:space="preserve"> </w:t>
      </w:r>
      <w:r>
        <w:rPr>
          <w:iCs/>
          <w:i/>
        </w:rPr>
        <w:t xml:space="preserve">88</w:t>
      </w:r>
      <w:r>
        <w:t xml:space="preserve">(1), 26–50.</w:t>
      </w:r>
      <w:r>
        <w:t xml:space="preserve"> </w:t>
      </w:r>
      <w:hyperlink r:id="rId168">
        <w:r>
          <w:rPr>
            <w:rStyle w:val="Hyperlink"/>
          </w:rPr>
          <w:t xml:space="preserve">https://doi.org/10.1111/jfb.12797</w:t>
        </w:r>
      </w:hyperlink>
    </w:p>
    <w:bookmarkEnd w:id="169"/>
    <w:bookmarkStart w:id="171" w:name="ref-tarka2018"/>
    <w:p>
      <w:pPr>
        <w:pStyle w:val="Bibliography"/>
      </w:pPr>
      <w:r>
        <w:t xml:space="preserve">Tarka, M., Guenther, A., Niemelä, P. T., Nakagawa, S., &amp; Noble, D. W. A. (2018). Sex differences in life history, behavior, and physiology along a slow-fast continuum: a meta-analysis.</w:t>
      </w:r>
      <w:r>
        <w:t xml:space="preserve"> </w:t>
      </w:r>
      <w:r>
        <w:rPr>
          <w:iCs/>
          <w:i/>
        </w:rPr>
        <w:t xml:space="preserve">Behavioral Ecology and Sociobiology</w:t>
      </w:r>
      <w:r>
        <w:t xml:space="preserve">,</w:t>
      </w:r>
      <w:r>
        <w:t xml:space="preserve"> </w:t>
      </w:r>
      <w:r>
        <w:rPr>
          <w:iCs/>
          <w:i/>
        </w:rPr>
        <w:t xml:space="preserve">72</w:t>
      </w:r>
      <w:r>
        <w:t xml:space="preserve">(8), 132.</w:t>
      </w:r>
      <w:r>
        <w:t xml:space="preserve"> </w:t>
      </w:r>
      <w:hyperlink r:id="rId170">
        <w:r>
          <w:rPr>
            <w:rStyle w:val="Hyperlink"/>
          </w:rPr>
          <w:t xml:space="preserve">https://doi.org/10.1007/s00265-018-2534-2</w:t>
        </w:r>
      </w:hyperlink>
    </w:p>
    <w:bookmarkEnd w:id="171"/>
    <w:bookmarkStart w:id="173" w:name="ref-todd2021"/>
    <w:p>
      <w:pPr>
        <w:pStyle w:val="Bibliography"/>
      </w:pPr>
      <w:r>
        <w:t xml:space="preserve">Todd, B. D., &amp; Nowakowski, A. J. (2021). Ectothermy and the macroecology of home range scaling in snakes.</w:t>
      </w:r>
      <w:r>
        <w:t xml:space="preserve"> </w:t>
      </w:r>
      <w:r>
        <w:rPr>
          <w:iCs/>
          <w:i/>
        </w:rPr>
        <w:t xml:space="preserve">Global Ecology and Biogeography</w:t>
      </w:r>
      <w:r>
        <w:t xml:space="preserve">,</w:t>
      </w:r>
      <w:r>
        <w:t xml:space="preserve"> </w:t>
      </w:r>
      <w:r>
        <w:rPr>
          <w:iCs/>
          <w:i/>
        </w:rPr>
        <w:t xml:space="preserve">30</w:t>
      </w:r>
      <w:r>
        <w:t xml:space="preserve">(1), 262–276.</w:t>
      </w:r>
      <w:r>
        <w:t xml:space="preserve"> </w:t>
      </w:r>
      <w:hyperlink r:id="rId172">
        <w:r>
          <w:rPr>
            <w:rStyle w:val="Hyperlink"/>
          </w:rPr>
          <w:t xml:space="preserve">https://doi.org/10.1111/geb.13225</w:t>
        </w:r>
      </w:hyperlink>
    </w:p>
    <w:bookmarkEnd w:id="173"/>
    <w:bookmarkStart w:id="175" w:name="ref-white2022"/>
    <w:p>
      <w:pPr>
        <w:pStyle w:val="Bibliography"/>
      </w:pPr>
      <w:r>
        <w:t xml:space="preserve">White, C. R., Alton, L. A., Bywater, C. L., Lombardi, E. J., &amp; Marshall, D. J. (2022). Metabolic scaling is the product of life-history optimization.</w:t>
      </w:r>
      <w:r>
        <w:t xml:space="preserve"> </w:t>
      </w:r>
      <w:r>
        <w:rPr>
          <w:iCs/>
          <w:i/>
        </w:rPr>
        <w:t xml:space="preserve">Science</w:t>
      </w:r>
      <w:r>
        <w:t xml:space="preserve">,</w:t>
      </w:r>
      <w:r>
        <w:t xml:space="preserve"> </w:t>
      </w:r>
      <w:r>
        <w:rPr>
          <w:iCs/>
          <w:i/>
        </w:rPr>
        <w:t xml:space="preserve">377</w:t>
      </w:r>
      <w:r>
        <w:t xml:space="preserve">(6608), 834–839.</w:t>
      </w:r>
      <w:r>
        <w:t xml:space="preserve"> </w:t>
      </w:r>
      <w:hyperlink r:id="rId174">
        <w:r>
          <w:rPr>
            <w:rStyle w:val="Hyperlink"/>
          </w:rPr>
          <w:t xml:space="preserve">https://doi.org/10.1126/science.abm7649</w:t>
        </w:r>
      </w:hyperlink>
    </w:p>
    <w:bookmarkEnd w:id="175"/>
    <w:bookmarkStart w:id="177" w:name="ref-ggplot2"/>
    <w:p>
      <w:pPr>
        <w:pStyle w:val="Bibliography"/>
      </w:pPr>
      <w:r>
        <w:t xml:space="preserve">Wickham, H. (2016).</w:t>
      </w:r>
      <w:r>
        <w:t xml:space="preserve"> </w:t>
      </w:r>
      <w:r>
        <w:rPr>
          <w:iCs/>
          <w:i/>
        </w:rPr>
        <w:t xml:space="preserve">ggplot2: Elegant graphics for data analysis</w:t>
      </w:r>
      <w:r>
        <w:t xml:space="preserve">.</w:t>
      </w:r>
      <w:r>
        <w:t xml:space="preserve"> </w:t>
      </w:r>
      <w:hyperlink r:id="rId176">
        <w:r>
          <w:rPr>
            <w:rStyle w:val="Hyperlink"/>
          </w:rPr>
          <w:t xml:space="preserve">https://ggplot2.tidyverse.org</w:t>
        </w:r>
      </w:hyperlink>
    </w:p>
    <w:bookmarkEnd w:id="177"/>
    <w:bookmarkStart w:id="179" w:name="ref-dplyr"/>
    <w:p>
      <w:pPr>
        <w:pStyle w:val="Bibliography"/>
      </w:pPr>
      <w:r>
        <w:t xml:space="preserve">Wickham, H., François, R., Henry, L., Müller, K., &amp; Vaughan, D. (2023).</w:t>
      </w:r>
      <w:r>
        <w:t xml:space="preserve"> </w:t>
      </w:r>
      <w:r>
        <w:rPr>
          <w:iCs/>
          <w:i/>
        </w:rPr>
        <w:t xml:space="preserve">Dplyr: A grammar of data manipulation</w:t>
      </w:r>
      <w:r>
        <w:t xml:space="preserve">.</w:t>
      </w:r>
      <w:r>
        <w:t xml:space="preserve"> </w:t>
      </w:r>
      <w:hyperlink r:id="rId178">
        <w:r>
          <w:rPr>
            <w:rStyle w:val="Hyperlink"/>
          </w:rPr>
          <w:t xml:space="preserve">https://CRAN.R-project.org/package=dplyr</w:t>
        </w:r>
      </w:hyperlink>
    </w:p>
    <w:bookmarkEnd w:id="179"/>
    <w:bookmarkStart w:id="181" w:name="ref-woods2015"/>
    <w:p>
      <w:pPr>
        <w:pStyle w:val="Bibliography"/>
      </w:pPr>
      <w:r>
        <w:t xml:space="preserve">Woods, H. A., Dillon, M. E., &amp; Pincebourde, S. (2015). The roles of microclimatic diversity and of behavior in mediating the responses of ectotherms to climate change.</w:t>
      </w:r>
      <w:r>
        <w:t xml:space="preserve"> </w:t>
      </w:r>
      <w:r>
        <w:rPr>
          <w:iCs/>
          <w:i/>
        </w:rPr>
        <w:t xml:space="preserve">Journal of Thermal Biology</w:t>
      </w:r>
      <w:r>
        <w:t xml:space="preserve">,</w:t>
      </w:r>
      <w:r>
        <w:t xml:space="preserve"> </w:t>
      </w:r>
      <w:r>
        <w:rPr>
          <w:iCs/>
          <w:i/>
        </w:rPr>
        <w:t xml:space="preserve">54</w:t>
      </w:r>
      <w:r>
        <w:t xml:space="preserve">, 86–97.</w:t>
      </w:r>
      <w:r>
        <w:t xml:space="preserve"> </w:t>
      </w:r>
      <w:hyperlink r:id="rId180">
        <w:r>
          <w:rPr>
            <w:rStyle w:val="Hyperlink"/>
          </w:rPr>
          <w:t xml:space="preserve">https://doi.org/10.1016/j.jtherbio.2014.10.002</w:t>
        </w:r>
      </w:hyperlink>
    </w:p>
    <w:bookmarkEnd w:id="181"/>
    <w:bookmarkStart w:id="183" w:name="ref-xie2014"/>
    <w:p>
      <w:pPr>
        <w:pStyle w:val="Bibliography"/>
      </w:pPr>
      <w:r>
        <w:t xml:space="preserve">Xie, Y. (2014).</w:t>
      </w:r>
      <w:r>
        <w:t xml:space="preserve"> </w:t>
      </w:r>
      <w:r>
        <w:rPr>
          <w:iCs/>
          <w:i/>
        </w:rPr>
        <w:t xml:space="preserve">Knitr: A comprehensive tool for reproducible research in r</w:t>
      </w:r>
      <w:r>
        <w:t xml:space="preserve"> </w:t>
      </w:r>
      <w:r>
        <w:t xml:space="preserve">(V. Stodden, F. Leisch, &amp; R. D. Peng, Eds.). Chapman; Hall/CRC.</w:t>
      </w:r>
      <w:r>
        <w:t xml:space="preserve"> </w:t>
      </w:r>
      <w:hyperlink r:id="rId182">
        <w:r>
          <w:rPr>
            <w:rStyle w:val="Hyperlink"/>
          </w:rPr>
          <w:t xml:space="preserve">http://www.crcpress.com/product/isbn/9781466561595</w:t>
        </w:r>
      </w:hyperlink>
    </w:p>
    <w:bookmarkEnd w:id="183"/>
    <w:bookmarkStart w:id="185" w:name="ref-xie2022"/>
    <w:p>
      <w:pPr>
        <w:pStyle w:val="Bibliography"/>
      </w:pPr>
      <w:r>
        <w:t xml:space="preserve">Xie, Y. (2022).</w:t>
      </w:r>
      <w:r>
        <w:t xml:space="preserve"> </w:t>
      </w:r>
      <w:r>
        <w:rPr>
          <w:iCs/>
          <w:i/>
        </w:rPr>
        <w:t xml:space="preserve">Bookdown: Authoring books and technical documents with r markdown</w:t>
      </w:r>
      <w:r>
        <w:t xml:space="preserve">.</w:t>
      </w:r>
      <w:r>
        <w:t xml:space="preserve"> </w:t>
      </w:r>
      <w:hyperlink r:id="rId184">
        <w:r>
          <w:rPr>
            <w:rStyle w:val="Hyperlink"/>
          </w:rPr>
          <w:t xml:space="preserve">https://github.com/rstudio/bookdown</w:t>
        </w:r>
      </w:hyperlink>
    </w:p>
    <w:bookmarkEnd w:id="185"/>
    <w:bookmarkStart w:id="187" w:name="ref-zhu2021"/>
    <w:p>
      <w:pPr>
        <w:pStyle w:val="Bibliography"/>
      </w:pPr>
      <w:r>
        <w:t xml:space="preserve">Zhu, H. (2021).</w:t>
      </w:r>
      <w:r>
        <w:t xml:space="preserve"> </w:t>
      </w:r>
      <w:r>
        <w:rPr>
          <w:iCs/>
          <w:i/>
        </w:rPr>
        <w:t xml:space="preserve">kableExtra: Construct complex table with kable and pipe syntax.</w:t>
      </w:r>
      <w:r>
        <w:t xml:space="preserve"> </w:t>
      </w:r>
      <w:hyperlink r:id="rId186">
        <w:r>
          <w:rPr>
            <w:rStyle w:val="Hyperlink"/>
          </w:rPr>
          <w:t xml:space="preserve">https://haozhu233.github.io/kableExtra/</w:t>
        </w:r>
      </w:hyperlink>
    </w:p>
    <w:bookmarkEnd w:id="187"/>
    <w:bookmarkStart w:id="189" w:name="ref-zoteros"/>
    <w:p>
      <w:pPr>
        <w:pStyle w:val="Bibliography"/>
      </w:pPr>
      <w:r>
        <w:rPr>
          <w:iCs/>
          <w:i/>
        </w:rPr>
        <w:t xml:space="preserve">Zotero style repository</w:t>
      </w:r>
      <w:r>
        <w:t xml:space="preserve">. (n.d.).</w:t>
      </w:r>
      <w:r>
        <w:t xml:space="preserve"> </w:t>
      </w:r>
      <w:hyperlink r:id="rId188">
        <w:r>
          <w:rPr>
            <w:rStyle w:val="Hyperlink"/>
          </w:rPr>
          <w:t xml:space="preserve">https://www.zotero.org/styles</w:t>
        </w:r>
      </w:hyperlink>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182" Target="http://www.crcpress.com/product/isbn/9781466561595" TargetMode="External" /><Relationship Type="http://schemas.openxmlformats.org/officeDocument/2006/relationships/hyperlink" Id="rId178" Target="https://CRAN.R-project.org/package=dplyr" TargetMode="External" /><Relationship Type="http://schemas.openxmlformats.org/officeDocument/2006/relationships/hyperlink" Id="rId98" Target="https://CRAN.R-project.org/package=pander" TargetMode="External" /><Relationship Type="http://schemas.openxmlformats.org/officeDocument/2006/relationships/hyperlink" Id="rId119" Target="https://api.semanticscholar.org/CorpusID:83738084" TargetMode="External" /><Relationship Type="http://schemas.openxmlformats.org/officeDocument/2006/relationships/hyperlink" Id="rId115" Target="https://doi.org/10.1002/ece3.2632" TargetMode="External" /><Relationship Type="http://schemas.openxmlformats.org/officeDocument/2006/relationships/hyperlink" Id="rId162" Target="https://doi.org/10.1006/jtbi.2000.1073" TargetMode="External" /><Relationship Type="http://schemas.openxmlformats.org/officeDocument/2006/relationships/hyperlink" Id="rId127" Target="https://doi.org/10.1007/s00265-011-1161-y" TargetMode="External" /><Relationship Type="http://schemas.openxmlformats.org/officeDocument/2006/relationships/hyperlink" Id="rId138" Target="https://doi.org/10.1007/s00265-018-2526-2" TargetMode="External" /><Relationship Type="http://schemas.openxmlformats.org/officeDocument/2006/relationships/hyperlink" Id="rId170" Target="https://doi.org/10.1007/s00265-018-2534-2" TargetMode="External" /><Relationship Type="http://schemas.openxmlformats.org/officeDocument/2006/relationships/hyperlink" Id="rId113" Target="https://doi.org/10.1007/s00265-023-03333-7" TargetMode="External" /><Relationship Type="http://schemas.openxmlformats.org/officeDocument/2006/relationships/hyperlink" Id="rId92" Target="https://doi.org/10.1007/s00442-022-05195-8" TargetMode="External" /><Relationship Type="http://schemas.openxmlformats.org/officeDocument/2006/relationships/hyperlink" Id="rId158" Target="https://doi.org/10.1016/S0169-5347(02)02578-8" TargetMode="External" /><Relationship Type="http://schemas.openxmlformats.org/officeDocument/2006/relationships/hyperlink" Id="rId94" Target="https://doi.org/10.1016/j.anbehav.2006.01.009" TargetMode="External" /><Relationship Type="http://schemas.openxmlformats.org/officeDocument/2006/relationships/hyperlink" Id="rId180" Target="https://doi.org/10.1016/j.jtherbio.2014.10.002" TargetMode="External" /><Relationship Type="http://schemas.openxmlformats.org/officeDocument/2006/relationships/hyperlink" Id="rId71" Target="https://doi.org/10.1016/j.pocean.2006.03.013" TargetMode="External" /><Relationship Type="http://schemas.openxmlformats.org/officeDocument/2006/relationships/hyperlink" Id="rId100" Target="https://doi.org/10.1016/j.tree.2018.04.010" TargetMode="External" /><Relationship Type="http://schemas.openxmlformats.org/officeDocument/2006/relationships/hyperlink" Id="rId103" Target="https://doi.org/10.1017/S1464793105006834" TargetMode="External" /><Relationship Type="http://schemas.openxmlformats.org/officeDocument/2006/relationships/hyperlink" Id="rId140" Target="https://doi.org/10.1073/pnas.110153997" TargetMode="External" /><Relationship Type="http://schemas.openxmlformats.org/officeDocument/2006/relationships/hyperlink" Id="rId80" Target="https://doi.org/10.1073/pnas.1907702116" TargetMode="External" /><Relationship Type="http://schemas.openxmlformats.org/officeDocument/2006/relationships/hyperlink" Id="rId150" Target="https://doi.org/10.1086/282697" TargetMode="External" /><Relationship Type="http://schemas.openxmlformats.org/officeDocument/2006/relationships/hyperlink" Id="rId142" Target="https://doi.org/10.1093/conphys/coz003" TargetMode="External" /><Relationship Type="http://schemas.openxmlformats.org/officeDocument/2006/relationships/hyperlink" Id="rId86" Target="https://doi.org/10.1093/iob/obab032" TargetMode="External" /><Relationship Type="http://schemas.openxmlformats.org/officeDocument/2006/relationships/hyperlink" Id="rId111" Target="https://doi.org/10.1098/rspb.2022.1605" TargetMode="External" /><Relationship Type="http://schemas.openxmlformats.org/officeDocument/2006/relationships/hyperlink" Id="rId154" Target="https://doi.org/10.1098/rstb.2010.0208" TargetMode="External" /><Relationship Type="http://schemas.openxmlformats.org/officeDocument/2006/relationships/hyperlink" Id="rId125" Target="https://doi.org/10.1111/1365-2435.12527" TargetMode="External" /><Relationship Type="http://schemas.openxmlformats.org/officeDocument/2006/relationships/hyperlink" Id="rId144" Target="https://doi.org/10.1111/1365-2435.13872" TargetMode="External" /><Relationship Type="http://schemas.openxmlformats.org/officeDocument/2006/relationships/hyperlink" Id="rId117" Target="https://doi.org/10.1111/1365-2656.12718" TargetMode="External" /><Relationship Type="http://schemas.openxmlformats.org/officeDocument/2006/relationships/hyperlink" Id="rId109" Target="https://doi.org/10.1111/brv.12115" TargetMode="External" /><Relationship Type="http://schemas.openxmlformats.org/officeDocument/2006/relationships/hyperlink" Id="rId67" Target="https://doi.org/10.1111/brv.12312" TargetMode="External" /><Relationship Type="http://schemas.openxmlformats.org/officeDocument/2006/relationships/hyperlink" Id="rId130" Target="https://doi.org/10.1111/geb.12806" TargetMode="External" /><Relationship Type="http://schemas.openxmlformats.org/officeDocument/2006/relationships/hyperlink" Id="rId172" Target="https://doi.org/10.1111/geb.13225" TargetMode="External" /><Relationship Type="http://schemas.openxmlformats.org/officeDocument/2006/relationships/hyperlink" Id="rId82" Target="https://doi.org/10.1111/j.0030-1299.2008.16513.x" TargetMode="External" /><Relationship Type="http://schemas.openxmlformats.org/officeDocument/2006/relationships/hyperlink" Id="rId88" Target="https://doi.org/10.1111/j.0269-8463.2004.00841.x" TargetMode="External" /><Relationship Type="http://schemas.openxmlformats.org/officeDocument/2006/relationships/hyperlink" Id="rId135" Target="https://doi.org/10.1111/j.1365-2656.2010.01753.x" TargetMode="External" /><Relationship Type="http://schemas.openxmlformats.org/officeDocument/2006/relationships/hyperlink" Id="rId121" Target="https://doi.org/10.1111/j.1461-0248.2009.01415.x" TargetMode="External" /><Relationship Type="http://schemas.openxmlformats.org/officeDocument/2006/relationships/hyperlink" Id="rId156" Target="https://doi.org/10.1111/j.1469-185X.2007.00010.x" TargetMode="External" /><Relationship Type="http://schemas.openxmlformats.org/officeDocument/2006/relationships/hyperlink" Id="rId84" Target="https://doi.org/10.1111/j.1474-919X.1974.tb00241.x" TargetMode="External" /><Relationship Type="http://schemas.openxmlformats.org/officeDocument/2006/relationships/hyperlink" Id="rId168" Target="https://doi.org/10.1111/jfb.12797" TargetMode="External" /><Relationship Type="http://schemas.openxmlformats.org/officeDocument/2006/relationships/hyperlink" Id="rId160" Target="https://doi.org/10.1111/maec.12106" TargetMode="External" /><Relationship Type="http://schemas.openxmlformats.org/officeDocument/2006/relationships/hyperlink" Id="rId166" Target="https://doi.org/10.1111/oik.10817" TargetMode="External" /><Relationship Type="http://schemas.openxmlformats.org/officeDocument/2006/relationships/hyperlink" Id="rId96" Target="https://doi.org/10.1126/science.1098254" TargetMode="External" /><Relationship Type="http://schemas.openxmlformats.org/officeDocument/2006/relationships/hyperlink" Id="rId174" Target="https://doi.org/10.1126/science.abm7649" TargetMode="External" /><Relationship Type="http://schemas.openxmlformats.org/officeDocument/2006/relationships/hyperlink" Id="rId164" Target="https://doi.org/10.1146/annurev.ecolsys.36.102003.152631" TargetMode="External" /><Relationship Type="http://schemas.openxmlformats.org/officeDocument/2006/relationships/hyperlink" Id="rId123" Target="https://doi.org/10.1242/jeb.242522" TargetMode="External" /><Relationship Type="http://schemas.openxmlformats.org/officeDocument/2006/relationships/hyperlink" Id="rId90" Target="https://doi.org/10.1371/journal.pone.0204448" TargetMode="External" /><Relationship Type="http://schemas.openxmlformats.org/officeDocument/2006/relationships/hyperlink" Id="rId132" Target="https://doi.org/10.1515/9781400834167" TargetMode="External" /><Relationship Type="http://schemas.openxmlformats.org/officeDocument/2006/relationships/hyperlink" Id="rId148" Target="https://doi.org/10.1890/0012-9658(2002)083[1870:LHRREO]2.0.CO;2" TargetMode="External" /><Relationship Type="http://schemas.openxmlformats.org/officeDocument/2006/relationships/hyperlink" Id="rId77" Target="https://doi.org/10.1890/03-9000" TargetMode="External" /><Relationship Type="http://schemas.openxmlformats.org/officeDocument/2006/relationships/hyperlink" Id="rId73" Target="https://doi.org/10.2307/1940913" TargetMode="External" /><Relationship Type="http://schemas.openxmlformats.org/officeDocument/2006/relationships/hyperlink" Id="rId146" Target="https://doi.org/10.3389/fevo.2019.00219" TargetMode="External" /><Relationship Type="http://schemas.openxmlformats.org/officeDocument/2006/relationships/hyperlink" Id="rId107" Target="https://doi.org/10.3390/systems2040425" TargetMode="External" /><Relationship Type="http://schemas.openxmlformats.org/officeDocument/2006/relationships/hyperlink" Id="rId105" Target="https://doi.org/10.3390/systems2040451" TargetMode="External" /><Relationship Type="http://schemas.openxmlformats.org/officeDocument/2006/relationships/hyperlink" Id="rId75" Target="https://doi.org/[Manuscript in preparation]" TargetMode="External" /><Relationship Type="http://schemas.openxmlformats.org/officeDocument/2006/relationships/hyperlink" Id="rId176" Target="https://ggplot2.tidyverse.org" TargetMode="External" /><Relationship Type="http://schemas.openxmlformats.org/officeDocument/2006/relationships/hyperlink" Id="rId184" Target="https://github.com/rstudio/bookdown" TargetMode="External" /><Relationship Type="http://schemas.openxmlformats.org/officeDocument/2006/relationships/hyperlink" Id="rId69" Target="https://github.com/rstudio/rmarkdown" TargetMode="External" /><Relationship Type="http://schemas.openxmlformats.org/officeDocument/2006/relationships/hyperlink" Id="rId186" Target="https://haozhu233.github.io/kableExtra/" TargetMode="External" /><Relationship Type="http://schemas.openxmlformats.org/officeDocument/2006/relationships/hyperlink" Id="rId152" Target="https://www.R-project.org/" TargetMode="External" /><Relationship Type="http://schemas.openxmlformats.org/officeDocument/2006/relationships/hyperlink" Id="rId18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182" Target="http://www.crcpress.com/product/isbn/9781466561595" TargetMode="External" /><Relationship Type="http://schemas.openxmlformats.org/officeDocument/2006/relationships/hyperlink" Id="rId178" Target="https://CRAN.R-project.org/package=dplyr" TargetMode="External" /><Relationship Type="http://schemas.openxmlformats.org/officeDocument/2006/relationships/hyperlink" Id="rId98" Target="https://CRAN.R-project.org/package=pander" TargetMode="External" /><Relationship Type="http://schemas.openxmlformats.org/officeDocument/2006/relationships/hyperlink" Id="rId119" Target="https://api.semanticscholar.org/CorpusID:83738084" TargetMode="External" /><Relationship Type="http://schemas.openxmlformats.org/officeDocument/2006/relationships/hyperlink" Id="rId115" Target="https://doi.org/10.1002/ece3.2632" TargetMode="External" /><Relationship Type="http://schemas.openxmlformats.org/officeDocument/2006/relationships/hyperlink" Id="rId162" Target="https://doi.org/10.1006/jtbi.2000.1073" TargetMode="External" /><Relationship Type="http://schemas.openxmlformats.org/officeDocument/2006/relationships/hyperlink" Id="rId127" Target="https://doi.org/10.1007/s00265-011-1161-y" TargetMode="External" /><Relationship Type="http://schemas.openxmlformats.org/officeDocument/2006/relationships/hyperlink" Id="rId138" Target="https://doi.org/10.1007/s00265-018-2526-2" TargetMode="External" /><Relationship Type="http://schemas.openxmlformats.org/officeDocument/2006/relationships/hyperlink" Id="rId170" Target="https://doi.org/10.1007/s00265-018-2534-2" TargetMode="External" /><Relationship Type="http://schemas.openxmlformats.org/officeDocument/2006/relationships/hyperlink" Id="rId113" Target="https://doi.org/10.1007/s00265-023-03333-7" TargetMode="External" /><Relationship Type="http://schemas.openxmlformats.org/officeDocument/2006/relationships/hyperlink" Id="rId92" Target="https://doi.org/10.1007/s00442-022-05195-8" TargetMode="External" /><Relationship Type="http://schemas.openxmlformats.org/officeDocument/2006/relationships/hyperlink" Id="rId158" Target="https://doi.org/10.1016/S0169-5347(02)02578-8" TargetMode="External" /><Relationship Type="http://schemas.openxmlformats.org/officeDocument/2006/relationships/hyperlink" Id="rId94" Target="https://doi.org/10.1016/j.anbehav.2006.01.009" TargetMode="External" /><Relationship Type="http://schemas.openxmlformats.org/officeDocument/2006/relationships/hyperlink" Id="rId180" Target="https://doi.org/10.1016/j.jtherbio.2014.10.002" TargetMode="External" /><Relationship Type="http://schemas.openxmlformats.org/officeDocument/2006/relationships/hyperlink" Id="rId71" Target="https://doi.org/10.1016/j.pocean.2006.03.013" TargetMode="External" /><Relationship Type="http://schemas.openxmlformats.org/officeDocument/2006/relationships/hyperlink" Id="rId100" Target="https://doi.org/10.1016/j.tree.2018.04.010" TargetMode="External" /><Relationship Type="http://schemas.openxmlformats.org/officeDocument/2006/relationships/hyperlink" Id="rId103" Target="https://doi.org/10.1017/S1464793105006834" TargetMode="External" /><Relationship Type="http://schemas.openxmlformats.org/officeDocument/2006/relationships/hyperlink" Id="rId140" Target="https://doi.org/10.1073/pnas.110153997" TargetMode="External" /><Relationship Type="http://schemas.openxmlformats.org/officeDocument/2006/relationships/hyperlink" Id="rId80" Target="https://doi.org/10.1073/pnas.1907702116" TargetMode="External" /><Relationship Type="http://schemas.openxmlformats.org/officeDocument/2006/relationships/hyperlink" Id="rId150" Target="https://doi.org/10.1086/282697" TargetMode="External" /><Relationship Type="http://schemas.openxmlformats.org/officeDocument/2006/relationships/hyperlink" Id="rId142" Target="https://doi.org/10.1093/conphys/coz003" TargetMode="External" /><Relationship Type="http://schemas.openxmlformats.org/officeDocument/2006/relationships/hyperlink" Id="rId86" Target="https://doi.org/10.1093/iob/obab032" TargetMode="External" /><Relationship Type="http://schemas.openxmlformats.org/officeDocument/2006/relationships/hyperlink" Id="rId111" Target="https://doi.org/10.1098/rspb.2022.1605" TargetMode="External" /><Relationship Type="http://schemas.openxmlformats.org/officeDocument/2006/relationships/hyperlink" Id="rId154" Target="https://doi.org/10.1098/rstb.2010.0208" TargetMode="External" /><Relationship Type="http://schemas.openxmlformats.org/officeDocument/2006/relationships/hyperlink" Id="rId125" Target="https://doi.org/10.1111/1365-2435.12527" TargetMode="External" /><Relationship Type="http://schemas.openxmlformats.org/officeDocument/2006/relationships/hyperlink" Id="rId144" Target="https://doi.org/10.1111/1365-2435.13872" TargetMode="External" /><Relationship Type="http://schemas.openxmlformats.org/officeDocument/2006/relationships/hyperlink" Id="rId117" Target="https://doi.org/10.1111/1365-2656.12718" TargetMode="External" /><Relationship Type="http://schemas.openxmlformats.org/officeDocument/2006/relationships/hyperlink" Id="rId109" Target="https://doi.org/10.1111/brv.12115" TargetMode="External" /><Relationship Type="http://schemas.openxmlformats.org/officeDocument/2006/relationships/hyperlink" Id="rId67" Target="https://doi.org/10.1111/brv.12312" TargetMode="External" /><Relationship Type="http://schemas.openxmlformats.org/officeDocument/2006/relationships/hyperlink" Id="rId130" Target="https://doi.org/10.1111/geb.12806" TargetMode="External" /><Relationship Type="http://schemas.openxmlformats.org/officeDocument/2006/relationships/hyperlink" Id="rId172" Target="https://doi.org/10.1111/geb.13225" TargetMode="External" /><Relationship Type="http://schemas.openxmlformats.org/officeDocument/2006/relationships/hyperlink" Id="rId82" Target="https://doi.org/10.1111/j.0030-1299.2008.16513.x" TargetMode="External" /><Relationship Type="http://schemas.openxmlformats.org/officeDocument/2006/relationships/hyperlink" Id="rId88" Target="https://doi.org/10.1111/j.0269-8463.2004.00841.x" TargetMode="External" /><Relationship Type="http://schemas.openxmlformats.org/officeDocument/2006/relationships/hyperlink" Id="rId135" Target="https://doi.org/10.1111/j.1365-2656.2010.01753.x" TargetMode="External" /><Relationship Type="http://schemas.openxmlformats.org/officeDocument/2006/relationships/hyperlink" Id="rId121" Target="https://doi.org/10.1111/j.1461-0248.2009.01415.x" TargetMode="External" /><Relationship Type="http://schemas.openxmlformats.org/officeDocument/2006/relationships/hyperlink" Id="rId156" Target="https://doi.org/10.1111/j.1469-185X.2007.00010.x" TargetMode="External" /><Relationship Type="http://schemas.openxmlformats.org/officeDocument/2006/relationships/hyperlink" Id="rId84" Target="https://doi.org/10.1111/j.1474-919X.1974.tb00241.x" TargetMode="External" /><Relationship Type="http://schemas.openxmlformats.org/officeDocument/2006/relationships/hyperlink" Id="rId168" Target="https://doi.org/10.1111/jfb.12797" TargetMode="External" /><Relationship Type="http://schemas.openxmlformats.org/officeDocument/2006/relationships/hyperlink" Id="rId160" Target="https://doi.org/10.1111/maec.12106" TargetMode="External" /><Relationship Type="http://schemas.openxmlformats.org/officeDocument/2006/relationships/hyperlink" Id="rId166" Target="https://doi.org/10.1111/oik.10817" TargetMode="External" /><Relationship Type="http://schemas.openxmlformats.org/officeDocument/2006/relationships/hyperlink" Id="rId96" Target="https://doi.org/10.1126/science.1098254" TargetMode="External" /><Relationship Type="http://schemas.openxmlformats.org/officeDocument/2006/relationships/hyperlink" Id="rId174" Target="https://doi.org/10.1126/science.abm7649" TargetMode="External" /><Relationship Type="http://schemas.openxmlformats.org/officeDocument/2006/relationships/hyperlink" Id="rId164" Target="https://doi.org/10.1146/annurev.ecolsys.36.102003.152631" TargetMode="External" /><Relationship Type="http://schemas.openxmlformats.org/officeDocument/2006/relationships/hyperlink" Id="rId123" Target="https://doi.org/10.1242/jeb.242522" TargetMode="External" /><Relationship Type="http://schemas.openxmlformats.org/officeDocument/2006/relationships/hyperlink" Id="rId90" Target="https://doi.org/10.1371/journal.pone.0204448" TargetMode="External" /><Relationship Type="http://schemas.openxmlformats.org/officeDocument/2006/relationships/hyperlink" Id="rId132" Target="https://doi.org/10.1515/9781400834167" TargetMode="External" /><Relationship Type="http://schemas.openxmlformats.org/officeDocument/2006/relationships/hyperlink" Id="rId148" Target="https://doi.org/10.1890/0012-9658(2002)083[1870:LHRREO]2.0.CO;2" TargetMode="External" /><Relationship Type="http://schemas.openxmlformats.org/officeDocument/2006/relationships/hyperlink" Id="rId77" Target="https://doi.org/10.1890/03-9000" TargetMode="External" /><Relationship Type="http://schemas.openxmlformats.org/officeDocument/2006/relationships/hyperlink" Id="rId73" Target="https://doi.org/10.2307/1940913" TargetMode="External" /><Relationship Type="http://schemas.openxmlformats.org/officeDocument/2006/relationships/hyperlink" Id="rId146" Target="https://doi.org/10.3389/fevo.2019.00219" TargetMode="External" /><Relationship Type="http://schemas.openxmlformats.org/officeDocument/2006/relationships/hyperlink" Id="rId107" Target="https://doi.org/10.3390/systems2040425" TargetMode="External" /><Relationship Type="http://schemas.openxmlformats.org/officeDocument/2006/relationships/hyperlink" Id="rId105" Target="https://doi.org/10.3390/systems2040451" TargetMode="External" /><Relationship Type="http://schemas.openxmlformats.org/officeDocument/2006/relationships/hyperlink" Id="rId75" Target="https://doi.org/[Manuscript in preparation]" TargetMode="External" /><Relationship Type="http://schemas.openxmlformats.org/officeDocument/2006/relationships/hyperlink" Id="rId176" Target="https://ggplot2.tidyverse.org" TargetMode="External" /><Relationship Type="http://schemas.openxmlformats.org/officeDocument/2006/relationships/hyperlink" Id="rId184" Target="https://github.com/rstudio/bookdown" TargetMode="External" /><Relationship Type="http://schemas.openxmlformats.org/officeDocument/2006/relationships/hyperlink" Id="rId69" Target="https://github.com/rstudio/rmarkdown" TargetMode="External" /><Relationship Type="http://schemas.openxmlformats.org/officeDocument/2006/relationships/hyperlink" Id="rId186" Target="https://haozhu233.github.io/kableExtra/" TargetMode="External" /><Relationship Type="http://schemas.openxmlformats.org/officeDocument/2006/relationships/hyperlink" Id="rId152" Target="https://www.R-project.org/" TargetMode="External" /><Relationship Type="http://schemas.openxmlformats.org/officeDocument/2006/relationships/hyperlink" Id="rId18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2024-11-18T18:31:05Z</dcterms:created>
  <dcterms:modified xsi:type="dcterms:W3CDTF">2024-11-18T18:31:05Z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header-includes">
    <vt:lpwstr/>
  </property>
  <property fmtid="{D5CDD505-2E9C-101B-9397-08002B2CF9AE}" pid="5" name="output">
    <vt:lpwstr/>
  </property>
</Properties>
</file>