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439" w:rsidRDefault="00C77439" w:rsidP="00C77439">
      <w:pPr>
        <w:spacing w:after="0" w:line="360" w:lineRule="auto"/>
        <w:jc w:val="center"/>
        <w:rPr>
          <w:rFonts w:ascii="Times New Roman" w:eastAsia="Arial" w:hAnsi="Times New Roman"/>
          <w:b/>
          <w:color w:val="000000"/>
          <w:sz w:val="32"/>
          <w:szCs w:val="32"/>
        </w:rPr>
      </w:pPr>
      <w:r w:rsidRPr="006B1DC4">
        <w:rPr>
          <w:rFonts w:ascii="Times New Roman" w:eastAsia="Arial" w:hAnsi="Times New Roman"/>
          <w:b/>
          <w:color w:val="000000"/>
          <w:sz w:val="32"/>
          <w:szCs w:val="32"/>
        </w:rPr>
        <w:t>Ochrona własności intelektualnej</w:t>
      </w:r>
    </w:p>
    <w:p w:rsidR="00C77439" w:rsidRPr="00485A38" w:rsidRDefault="00C77439" w:rsidP="00C77439">
      <w:pPr>
        <w:spacing w:after="0" w:line="360" w:lineRule="auto"/>
        <w:ind w:firstLine="709"/>
        <w:jc w:val="center"/>
        <w:rPr>
          <w:rFonts w:ascii="Times New Roman" w:hAnsi="Times New Roman"/>
          <w:b/>
          <w:sz w:val="32"/>
          <w:szCs w:val="32"/>
        </w:rPr>
      </w:pPr>
      <w:r w:rsidRPr="00485A38">
        <w:rPr>
          <w:rFonts w:ascii="Times New Roman" w:hAnsi="Times New Roman"/>
          <w:b/>
          <w:sz w:val="32"/>
          <w:szCs w:val="32"/>
        </w:rPr>
        <w:t xml:space="preserve">data </w:t>
      </w:r>
      <w:r>
        <w:rPr>
          <w:rFonts w:ascii="Times New Roman" w:hAnsi="Times New Roman"/>
          <w:b/>
          <w:sz w:val="32"/>
          <w:szCs w:val="32"/>
        </w:rPr>
        <w:t>18 października</w:t>
      </w:r>
      <w:r w:rsidRPr="00485A38">
        <w:rPr>
          <w:rFonts w:ascii="Times New Roman" w:hAnsi="Times New Roman"/>
          <w:b/>
          <w:sz w:val="32"/>
          <w:szCs w:val="32"/>
        </w:rPr>
        <w:t xml:space="preserve"> 202</w:t>
      </w:r>
      <w:r>
        <w:rPr>
          <w:rFonts w:ascii="Times New Roman" w:hAnsi="Times New Roman"/>
          <w:b/>
          <w:sz w:val="32"/>
          <w:szCs w:val="32"/>
        </w:rPr>
        <w:t>1</w:t>
      </w:r>
      <w:r w:rsidRPr="00485A38">
        <w:rPr>
          <w:rFonts w:ascii="Times New Roman" w:hAnsi="Times New Roman"/>
          <w:b/>
          <w:sz w:val="32"/>
          <w:szCs w:val="32"/>
        </w:rPr>
        <w:t xml:space="preserve"> r.</w:t>
      </w:r>
    </w:p>
    <w:p w:rsidR="00C77439" w:rsidRPr="006B1DC4" w:rsidRDefault="00C77439" w:rsidP="00C77439">
      <w:pPr>
        <w:spacing w:after="0" w:line="360" w:lineRule="auto"/>
        <w:ind w:firstLine="709"/>
        <w:jc w:val="center"/>
        <w:rPr>
          <w:rFonts w:ascii="Times New Roman" w:hAnsi="Times New Roman"/>
          <w:b/>
          <w:sz w:val="24"/>
          <w:szCs w:val="24"/>
        </w:rPr>
      </w:pPr>
      <w:r w:rsidRPr="006B1DC4">
        <w:rPr>
          <w:rFonts w:ascii="Times New Roman" w:hAnsi="Times New Roman"/>
          <w:b/>
          <w:sz w:val="24"/>
          <w:szCs w:val="24"/>
        </w:rPr>
        <w:t>Temat:</w:t>
      </w:r>
    </w:p>
    <w:p w:rsidR="00C77439" w:rsidRPr="00A20D05" w:rsidRDefault="00C77439" w:rsidP="00C77439">
      <w:pPr>
        <w:spacing w:after="0" w:line="360" w:lineRule="auto"/>
        <w:ind w:firstLine="709"/>
        <w:jc w:val="center"/>
        <w:rPr>
          <w:rFonts w:ascii="Times New Roman" w:eastAsia="Arial" w:hAnsi="Times New Roman"/>
          <w:b/>
          <w:color w:val="000000"/>
          <w:sz w:val="28"/>
          <w:szCs w:val="28"/>
        </w:rPr>
      </w:pPr>
      <w:bookmarkStart w:id="0" w:name="_GoBack"/>
      <w:bookmarkEnd w:id="0"/>
      <w:r w:rsidRPr="00A20D05">
        <w:rPr>
          <w:rFonts w:ascii="Times New Roman" w:eastAsia="Arial" w:hAnsi="Times New Roman"/>
          <w:b/>
          <w:color w:val="000000"/>
          <w:sz w:val="28"/>
          <w:szCs w:val="28"/>
        </w:rPr>
        <w:t>Źródła międzynarodowego i europejskiego prawa własności intelektualnej. Konwencja paryska, berneńska, TRIPS</w:t>
      </w:r>
      <w:r>
        <w:rPr>
          <w:rFonts w:ascii="Times New Roman" w:eastAsia="Arial" w:hAnsi="Times New Roman"/>
          <w:b/>
          <w:color w:val="000000"/>
          <w:sz w:val="28"/>
          <w:szCs w:val="28"/>
        </w:rPr>
        <w:t xml:space="preserve"> </w:t>
      </w:r>
    </w:p>
    <w:p w:rsidR="00C77439" w:rsidRPr="008555D7" w:rsidRDefault="00C77439" w:rsidP="00C77439">
      <w:pPr>
        <w:pStyle w:val="StandardowyNB"/>
        <w:tabs>
          <w:tab w:val="left" w:pos="6379"/>
        </w:tabs>
        <w:spacing w:line="360" w:lineRule="auto"/>
        <w:ind w:left="0" w:right="0" w:firstLine="709"/>
        <w:jc w:val="center"/>
        <w:rPr>
          <w:sz w:val="24"/>
          <w:szCs w:val="24"/>
        </w:rPr>
      </w:pPr>
    </w:p>
    <w:p w:rsidR="00C77439" w:rsidRDefault="00C77439" w:rsidP="00C77439">
      <w:pPr>
        <w:pStyle w:val="StandardowyNB"/>
        <w:tabs>
          <w:tab w:val="left" w:pos="6379"/>
        </w:tabs>
        <w:spacing w:line="360" w:lineRule="auto"/>
        <w:ind w:left="0" w:right="0" w:firstLine="709"/>
        <w:rPr>
          <w:b/>
          <w:sz w:val="24"/>
          <w:szCs w:val="24"/>
        </w:rPr>
      </w:pPr>
      <w:r w:rsidRPr="006B1DC4">
        <w:rPr>
          <w:b/>
          <w:sz w:val="24"/>
          <w:szCs w:val="24"/>
        </w:rPr>
        <w:t>1.1. Prawo autorskie</w:t>
      </w:r>
    </w:p>
    <w:p w:rsidR="00C77439" w:rsidRPr="006B1DC4" w:rsidRDefault="00C77439" w:rsidP="00C77439">
      <w:pPr>
        <w:pStyle w:val="StandardowyNB"/>
        <w:tabs>
          <w:tab w:val="left" w:pos="6379"/>
        </w:tabs>
        <w:spacing w:line="360" w:lineRule="auto"/>
        <w:ind w:left="0" w:right="0" w:firstLine="709"/>
        <w:jc w:val="center"/>
        <w:rPr>
          <w:b/>
          <w:sz w:val="24"/>
          <w:szCs w:val="24"/>
        </w:rPr>
      </w:pPr>
    </w:p>
    <w:p w:rsidR="00C77439" w:rsidRPr="008555D7" w:rsidRDefault="00C77439" w:rsidP="00C77439">
      <w:pPr>
        <w:pStyle w:val="StandardowyNB"/>
        <w:tabs>
          <w:tab w:val="left" w:pos="6379"/>
        </w:tabs>
        <w:spacing w:line="360" w:lineRule="auto"/>
        <w:ind w:left="0" w:right="0" w:firstLine="709"/>
        <w:rPr>
          <w:sz w:val="24"/>
          <w:szCs w:val="24"/>
        </w:rPr>
      </w:pPr>
      <w:r w:rsidRPr="008555D7">
        <w:rPr>
          <w:sz w:val="24"/>
          <w:szCs w:val="24"/>
        </w:rPr>
        <w:tab/>
        <w:t xml:space="preserve">W regulacji międzynarodowej prawa autorskiego podstawowe znaczenie mają postanowienia </w:t>
      </w:r>
      <w:r w:rsidRPr="008555D7">
        <w:rPr>
          <w:rStyle w:val="Bold"/>
          <w:sz w:val="24"/>
          <w:szCs w:val="24"/>
        </w:rPr>
        <w:t>Konwencji berneńskiej</w:t>
      </w:r>
      <w:r w:rsidRPr="008555D7">
        <w:rPr>
          <w:rStyle w:val="Bold"/>
          <w:b w:val="0"/>
          <w:sz w:val="24"/>
          <w:szCs w:val="24"/>
        </w:rPr>
        <w:t xml:space="preserve"> </w:t>
      </w:r>
      <w:r w:rsidRPr="008555D7">
        <w:rPr>
          <w:sz w:val="24"/>
          <w:szCs w:val="24"/>
        </w:rPr>
        <w:t xml:space="preserve">z 1886 r. oraz </w:t>
      </w:r>
      <w:r w:rsidRPr="008555D7">
        <w:rPr>
          <w:rStyle w:val="Bold"/>
          <w:sz w:val="24"/>
          <w:szCs w:val="24"/>
        </w:rPr>
        <w:t>Porozumieniu w sprawie Handlowych Aspektów Praw Własności Intelektualnej (tzw. TRIPS)</w:t>
      </w:r>
      <w:r w:rsidRPr="008555D7">
        <w:rPr>
          <w:sz w:val="24"/>
          <w:szCs w:val="24"/>
        </w:rPr>
        <w:t xml:space="preserve">. Jest to </w:t>
      </w:r>
      <w:r w:rsidRPr="008555D7">
        <w:rPr>
          <w:rStyle w:val="Bold"/>
          <w:sz w:val="24"/>
          <w:szCs w:val="24"/>
        </w:rPr>
        <w:t>Załącznik 1C</w:t>
      </w:r>
      <w:r w:rsidRPr="008555D7">
        <w:rPr>
          <w:sz w:val="24"/>
          <w:szCs w:val="24"/>
        </w:rPr>
        <w:t xml:space="preserve"> do </w:t>
      </w:r>
      <w:r w:rsidRPr="008555D7">
        <w:rPr>
          <w:rStyle w:val="Bold"/>
          <w:sz w:val="24"/>
          <w:szCs w:val="24"/>
        </w:rPr>
        <w:t>Porozumienia Ustanawiającego Światową Organizację Handlu (WTO)</w:t>
      </w:r>
      <w:r w:rsidRPr="008555D7">
        <w:rPr>
          <w:sz w:val="24"/>
          <w:szCs w:val="24"/>
        </w:rPr>
        <w:t>. Pierwsza z nich zapoczątkowała proces "globalizacji" prawa autorskiego, a druga doprowadziła do jego finalizacji.</w:t>
      </w:r>
    </w:p>
    <w:p w:rsidR="00C77439" w:rsidRPr="008555D7" w:rsidRDefault="00C77439" w:rsidP="00C77439">
      <w:pPr>
        <w:pStyle w:val="StandardowyNB"/>
        <w:tabs>
          <w:tab w:val="left" w:pos="6379"/>
        </w:tabs>
        <w:spacing w:line="360" w:lineRule="auto"/>
        <w:ind w:left="0" w:right="0" w:firstLine="709"/>
        <w:rPr>
          <w:sz w:val="24"/>
          <w:szCs w:val="24"/>
        </w:rPr>
      </w:pPr>
      <w:r w:rsidRPr="008555D7">
        <w:rPr>
          <w:rStyle w:val="Bold"/>
          <w:sz w:val="24"/>
          <w:szCs w:val="24"/>
        </w:rPr>
        <w:tab/>
        <w:t>Konwencja berneńska</w:t>
      </w:r>
      <w:r w:rsidRPr="008555D7">
        <w:rPr>
          <w:sz w:val="24"/>
          <w:szCs w:val="24"/>
        </w:rPr>
        <w:t xml:space="preserve"> jest wielostronną umową międzynarodową dotyczącą ochrony dzieł literackich, naukowych i artystycznych. Jest to umowa zawarta 9.9.1886 r., a następnie wielokrotnie rewidowana i uzupełniana. Poszczególne kraje, które do niej przystąpiły, mogą być związane różnymi jej redakcjami. Polska jest sygnatariuszem Konwencji berneńskiej od 1919 r. i przystępując do Konwencji wykonała nałożone na nią zobowiązania Traktatu Wersalskiego.</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 xml:space="preserve">Podstawowe zasady konwencji: </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ab/>
        <w:t xml:space="preserve">- </w:t>
      </w:r>
      <w:r w:rsidRPr="008555D7">
        <w:rPr>
          <w:rStyle w:val="Bold"/>
          <w:rFonts w:ascii="Times New Roman" w:hAnsi="Times New Roman"/>
          <w:sz w:val="24"/>
          <w:szCs w:val="24"/>
        </w:rPr>
        <w:t xml:space="preserve">zasada asymilacji, </w:t>
      </w:r>
      <w:r w:rsidRPr="008555D7">
        <w:rPr>
          <w:rStyle w:val="Bold"/>
          <w:rFonts w:ascii="Times New Roman" w:hAnsi="Times New Roman"/>
          <w:b w:val="0"/>
          <w:sz w:val="24"/>
          <w:szCs w:val="24"/>
        </w:rPr>
        <w:t>która polega na</w:t>
      </w:r>
      <w:r w:rsidRPr="008555D7">
        <w:rPr>
          <w:rStyle w:val="Bold"/>
          <w:rFonts w:ascii="Times New Roman" w:hAnsi="Times New Roman"/>
          <w:sz w:val="24"/>
          <w:szCs w:val="24"/>
        </w:rPr>
        <w:t xml:space="preserve"> </w:t>
      </w:r>
      <w:r w:rsidRPr="008555D7">
        <w:rPr>
          <w:rFonts w:ascii="Times New Roman" w:hAnsi="Times New Roman"/>
          <w:color w:val="000000"/>
          <w:sz w:val="24"/>
          <w:szCs w:val="24"/>
        </w:rPr>
        <w:t>zrównaniu ochrony udzielanej dziełom chronionym na podstawie konwencji z ochroną udzielaną obywatelom własnym),</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ab/>
        <w:t xml:space="preserve">- </w:t>
      </w:r>
      <w:r w:rsidRPr="008555D7">
        <w:rPr>
          <w:rStyle w:val="Bold"/>
          <w:rFonts w:ascii="Times New Roman" w:hAnsi="Times New Roman"/>
          <w:sz w:val="24"/>
          <w:szCs w:val="24"/>
        </w:rPr>
        <w:t xml:space="preserve">zasada minimum konwencyjnego, </w:t>
      </w:r>
      <w:r w:rsidRPr="008555D7">
        <w:rPr>
          <w:rStyle w:val="Bold"/>
          <w:rFonts w:ascii="Times New Roman" w:hAnsi="Times New Roman"/>
          <w:b w:val="0"/>
          <w:sz w:val="24"/>
          <w:szCs w:val="24"/>
        </w:rPr>
        <w:t xml:space="preserve">gwarantująca poziom </w:t>
      </w:r>
      <w:r w:rsidRPr="008555D7">
        <w:rPr>
          <w:rFonts w:ascii="Times New Roman" w:hAnsi="Times New Roman"/>
          <w:color w:val="000000"/>
          <w:sz w:val="24"/>
          <w:szCs w:val="24"/>
        </w:rPr>
        <w:t>ochrony, bez względu na poziom ochrony ustalony w kraju, w którym się jej dochodzi,</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 xml:space="preserve">Dzieła literackie, naukowe i artystyczne chronione są bez względu na sposób i formę wyrażenia (dotyczy to także tłumaczeń, przystosowań itp.) bez konieczności spełnienia jakichkolwiek wymogów formalnych. Ochrona obejmuje osobiste i majątkowe prawa autorskie, a </w:t>
      </w:r>
      <w:proofErr w:type="spellStart"/>
      <w:r w:rsidRPr="008555D7">
        <w:rPr>
          <w:rFonts w:ascii="Times New Roman" w:hAnsi="Times New Roman"/>
          <w:color w:val="000000"/>
          <w:sz w:val="24"/>
          <w:szCs w:val="24"/>
        </w:rPr>
        <w:t>zas</w:t>
      </w:r>
      <w:proofErr w:type="spellEnd"/>
      <w:r w:rsidRPr="008555D7">
        <w:rPr>
          <w:rFonts w:ascii="Times New Roman" w:hAnsi="Times New Roman"/>
          <w:color w:val="000000"/>
          <w:sz w:val="24"/>
          <w:szCs w:val="24"/>
        </w:rPr>
        <w:t xml:space="preserve"> ochrony autorskich praw majątkowych to życie autora i 50 lat po jego śmierci. Polska po nowelizacji </w:t>
      </w:r>
      <w:proofErr w:type="spellStart"/>
      <w:r w:rsidRPr="008555D7">
        <w:rPr>
          <w:rFonts w:ascii="Times New Roman" w:hAnsi="Times New Roman"/>
          <w:color w:val="000000"/>
          <w:sz w:val="24"/>
          <w:szCs w:val="24"/>
        </w:rPr>
        <w:t>PrAut</w:t>
      </w:r>
      <w:proofErr w:type="spellEnd"/>
      <w:r w:rsidRPr="008555D7">
        <w:rPr>
          <w:rFonts w:ascii="Times New Roman" w:hAnsi="Times New Roman"/>
          <w:color w:val="000000"/>
          <w:sz w:val="24"/>
          <w:szCs w:val="24"/>
        </w:rPr>
        <w:t xml:space="preserve"> w 2000 r. wprowadziła 70-o letni okres ochronny w tym zakresie.</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Style w:val="Bold"/>
          <w:rFonts w:ascii="Times New Roman" w:hAnsi="Times New Roman"/>
          <w:sz w:val="24"/>
          <w:szCs w:val="24"/>
        </w:rPr>
        <w:tab/>
        <w:t>Porozumienie w sprawie Handlowych Aspektów Praw Własności Intelektualnej (tzw. TRIPS) to Załącznik 1C</w:t>
      </w:r>
      <w:r w:rsidRPr="008555D7">
        <w:rPr>
          <w:rFonts w:ascii="Times New Roman" w:hAnsi="Times New Roman"/>
          <w:color w:val="000000"/>
          <w:sz w:val="24"/>
          <w:szCs w:val="24"/>
        </w:rPr>
        <w:t xml:space="preserve"> do </w:t>
      </w:r>
      <w:r w:rsidRPr="008555D7">
        <w:rPr>
          <w:rStyle w:val="Bold"/>
          <w:rFonts w:ascii="Times New Roman" w:hAnsi="Times New Roman"/>
          <w:sz w:val="24"/>
          <w:szCs w:val="24"/>
        </w:rPr>
        <w:t xml:space="preserve">Porozumienia Ustanawiającego Światową Organizację Handlu (WTO). </w:t>
      </w:r>
      <w:r w:rsidRPr="008555D7">
        <w:rPr>
          <w:rStyle w:val="Bold"/>
          <w:rFonts w:ascii="Times New Roman" w:hAnsi="Times New Roman"/>
          <w:b w:val="0"/>
          <w:sz w:val="24"/>
          <w:szCs w:val="24"/>
        </w:rPr>
        <w:t>W podstawowym zakresie</w:t>
      </w:r>
      <w:r w:rsidRPr="008555D7">
        <w:rPr>
          <w:rFonts w:ascii="Times New Roman" w:hAnsi="Times New Roman"/>
          <w:color w:val="000000"/>
          <w:sz w:val="24"/>
          <w:szCs w:val="24"/>
        </w:rPr>
        <w:t xml:space="preserve"> oparte jest na postanowieniach konwencji </w:t>
      </w:r>
      <w:r w:rsidRPr="008555D7">
        <w:rPr>
          <w:rFonts w:ascii="Times New Roman" w:hAnsi="Times New Roman"/>
          <w:color w:val="000000"/>
          <w:sz w:val="24"/>
          <w:szCs w:val="24"/>
        </w:rPr>
        <w:lastRenderedPageBreak/>
        <w:t xml:space="preserve">berneńskiej. </w:t>
      </w:r>
      <w:r w:rsidRPr="008555D7">
        <w:rPr>
          <w:rStyle w:val="Bold"/>
          <w:rFonts w:ascii="Times New Roman" w:hAnsi="Times New Roman"/>
          <w:sz w:val="24"/>
          <w:szCs w:val="24"/>
        </w:rPr>
        <w:t>TRIPS</w:t>
      </w:r>
      <w:r w:rsidRPr="008555D7">
        <w:rPr>
          <w:rStyle w:val="Bold"/>
          <w:rFonts w:ascii="Times New Roman" w:hAnsi="Times New Roman"/>
          <w:b w:val="0"/>
          <w:sz w:val="24"/>
          <w:szCs w:val="24"/>
        </w:rPr>
        <w:t xml:space="preserve"> </w:t>
      </w:r>
      <w:r w:rsidRPr="008555D7">
        <w:rPr>
          <w:rFonts w:ascii="Times New Roman" w:hAnsi="Times New Roman"/>
          <w:color w:val="000000"/>
          <w:sz w:val="24"/>
          <w:szCs w:val="24"/>
        </w:rPr>
        <w:t xml:space="preserve">jednak wprowadza w miejsce zasady asymilacji – </w:t>
      </w:r>
      <w:r w:rsidRPr="008555D7">
        <w:rPr>
          <w:rStyle w:val="Bold"/>
          <w:rFonts w:ascii="Times New Roman" w:hAnsi="Times New Roman"/>
          <w:sz w:val="24"/>
          <w:szCs w:val="24"/>
        </w:rPr>
        <w:t>zasadę najwyższego uprzywilejowania</w:t>
      </w:r>
      <w:r w:rsidRPr="008555D7">
        <w:rPr>
          <w:rFonts w:ascii="Times New Roman" w:hAnsi="Times New Roman"/>
          <w:color w:val="000000"/>
          <w:sz w:val="24"/>
          <w:szCs w:val="24"/>
        </w:rPr>
        <w:t xml:space="preserve"> - wprowadza system „automatycznego” rozszerzenia ochrony w stosunku do twórców ze wszystkich stron tego porozumienia. </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p>
    <w:p w:rsidR="00C77439" w:rsidRPr="006B1DC4"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b/>
          <w:color w:val="000000"/>
          <w:sz w:val="24"/>
          <w:szCs w:val="24"/>
        </w:rPr>
      </w:pPr>
      <w:r w:rsidRPr="006B1DC4">
        <w:rPr>
          <w:rFonts w:ascii="Times New Roman" w:hAnsi="Times New Roman"/>
          <w:b/>
          <w:color w:val="000000"/>
          <w:sz w:val="24"/>
          <w:szCs w:val="24"/>
        </w:rPr>
        <w:t>1.2. Prawo własności przemysłowej</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center"/>
        <w:textAlignment w:val="center"/>
        <w:rPr>
          <w:rFonts w:ascii="Times New Roman" w:hAnsi="Times New Roman"/>
          <w:color w:val="000000"/>
          <w:sz w:val="24"/>
          <w:szCs w:val="24"/>
        </w:rPr>
      </w:pP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Style w:val="Bold"/>
          <w:rFonts w:ascii="Times New Roman" w:hAnsi="Times New Roman"/>
          <w:sz w:val="24"/>
          <w:szCs w:val="24"/>
        </w:rPr>
        <w:tab/>
        <w:t>Konwencja paryska z 1883 r.</w:t>
      </w:r>
      <w:r w:rsidRPr="008555D7">
        <w:rPr>
          <w:rFonts w:ascii="Times New Roman" w:hAnsi="Times New Roman"/>
          <w:color w:val="000000"/>
          <w:sz w:val="24"/>
          <w:szCs w:val="24"/>
        </w:rPr>
        <w:t xml:space="preserve"> była odpowiednikiem konwencji berneńskiej - rozpoczęła proces "globalizacji" prawa własności przemysłowej. Jednak oparta została o inne założenia - nie znosi  terytorialności, ani obowiązku dochowania formalności wymaganych przez prawo wewnętrzne jako warunków ochrony praw wyłącznych do przedmiotów własności przemysłowej. Jest wielostronną umową międzynarodową dotyczącą ochrony patentów na wynalazki, wzorów użytkowych, wzorów przemysłowych, znaków towarowych, znaków usługowych, nazw handlowych i oznaczenia pochodzenia lub nazwy pochodzenia, jak również zwalczania nieuczciwej konkurencji (art. 1 Konwencji). Przedmioty te zbiorczo stanowią „</w:t>
      </w:r>
      <w:r w:rsidRPr="008555D7">
        <w:rPr>
          <w:rStyle w:val="Bold"/>
          <w:rFonts w:ascii="Times New Roman" w:hAnsi="Times New Roman"/>
          <w:sz w:val="24"/>
          <w:szCs w:val="24"/>
        </w:rPr>
        <w:t>własność przemysłową</w:t>
      </w:r>
      <w:r w:rsidRPr="008555D7">
        <w:rPr>
          <w:rFonts w:ascii="Times New Roman" w:hAnsi="Times New Roman"/>
          <w:color w:val="000000"/>
          <w:sz w:val="24"/>
          <w:szCs w:val="24"/>
        </w:rPr>
        <w:t>”.</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Podstawowe zasady:</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ab/>
        <w:t xml:space="preserve">- </w:t>
      </w:r>
      <w:r w:rsidRPr="008555D7">
        <w:rPr>
          <w:rStyle w:val="Bold"/>
          <w:rFonts w:ascii="Times New Roman" w:hAnsi="Times New Roman"/>
          <w:sz w:val="24"/>
          <w:szCs w:val="24"/>
        </w:rPr>
        <w:t>zasada asymilacji</w:t>
      </w:r>
      <w:r w:rsidRPr="008555D7">
        <w:rPr>
          <w:rFonts w:ascii="Times New Roman" w:hAnsi="Times New Roman"/>
          <w:color w:val="000000"/>
          <w:sz w:val="24"/>
          <w:szCs w:val="24"/>
        </w:rPr>
        <w:t xml:space="preserve"> (tj. zrównania ochrony udzielanej na podstawie konwencji z ochroną udzielaną obywatelom własnym),</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ab/>
        <w:t xml:space="preserve">- </w:t>
      </w:r>
      <w:r w:rsidRPr="008555D7">
        <w:rPr>
          <w:rStyle w:val="Bold"/>
          <w:rFonts w:ascii="Times New Roman" w:hAnsi="Times New Roman"/>
          <w:sz w:val="24"/>
          <w:szCs w:val="24"/>
        </w:rPr>
        <w:t>zasada priorytetu konwencyjnego</w:t>
      </w:r>
      <w:r w:rsidRPr="008555D7">
        <w:rPr>
          <w:rFonts w:ascii="Times New Roman" w:hAnsi="Times New Roman"/>
          <w:color w:val="000000"/>
          <w:sz w:val="24"/>
          <w:szCs w:val="24"/>
        </w:rPr>
        <w:t xml:space="preserve"> (tj. rozciągnięcia skutku dotyczącego daty pierwszego zgłoszenia w krajach związku paryskiego na każde następne zgłoszenie w innych krajach należących do tego związku, jeśli nastąpi to przed upływem 12 kolejnych miesięcy od pierwszego zgłoszenia).</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ab/>
        <w:t xml:space="preserve">Międzynarodowa ochrona </w:t>
      </w:r>
      <w:r w:rsidRPr="008555D7">
        <w:rPr>
          <w:rStyle w:val="Bold"/>
          <w:rFonts w:ascii="Times New Roman" w:hAnsi="Times New Roman"/>
          <w:sz w:val="24"/>
          <w:szCs w:val="24"/>
        </w:rPr>
        <w:t>własności przemysłowej</w:t>
      </w:r>
      <w:r w:rsidRPr="008555D7">
        <w:rPr>
          <w:rFonts w:ascii="Times New Roman" w:hAnsi="Times New Roman"/>
          <w:color w:val="000000"/>
          <w:sz w:val="24"/>
          <w:szCs w:val="24"/>
        </w:rPr>
        <w:t xml:space="preserve"> jest </w:t>
      </w:r>
      <w:r w:rsidRPr="008555D7">
        <w:rPr>
          <w:rStyle w:val="Bold"/>
          <w:rFonts w:ascii="Times New Roman" w:hAnsi="Times New Roman"/>
          <w:sz w:val="24"/>
          <w:szCs w:val="24"/>
        </w:rPr>
        <w:t>sformalizowana</w:t>
      </w:r>
      <w:r w:rsidRPr="008555D7">
        <w:rPr>
          <w:rFonts w:ascii="Times New Roman" w:hAnsi="Times New Roman"/>
          <w:color w:val="000000"/>
          <w:sz w:val="24"/>
          <w:szCs w:val="24"/>
        </w:rPr>
        <w:t xml:space="preserve"> i </w:t>
      </w:r>
      <w:r w:rsidRPr="008555D7">
        <w:rPr>
          <w:rStyle w:val="Bold"/>
          <w:rFonts w:ascii="Times New Roman" w:hAnsi="Times New Roman"/>
          <w:sz w:val="24"/>
          <w:szCs w:val="24"/>
        </w:rPr>
        <w:t>terytorialna</w:t>
      </w:r>
      <w:r w:rsidRPr="008555D7">
        <w:rPr>
          <w:rFonts w:ascii="Times New Roman" w:hAnsi="Times New Roman"/>
          <w:color w:val="000000"/>
          <w:sz w:val="24"/>
          <w:szCs w:val="24"/>
        </w:rPr>
        <w:t>, wymaga rejestracji zgodnej z prawem kraju, w którym jest ona dokonywana, i ogranicza się do obszaru krajów, w których uzyskano prawa ochronne. Współpraca międzynarodowa zmierza do stworzenia ponadnarodowych instytucji prowadzących badania akceptowane przez możliwie największą liczbę narodowych urzędów patentowych, np. wynikiem takich działań jest układ o współpracy patentowej sporządzony w Waszyngtonie w 1970 r. (PCT), także Konwencja monachijska z 1973 r. o udzielaniu patentów europejskich. Ten ostatni akt Polska ratyfikowała ustawą z 19.9.2003 r. (Dz.U. Nr 193, poz. 1885) i obowiązuje od 3.12.2003 r.</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p>
    <w:p w:rsidR="00C77439"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b/>
          <w:color w:val="000000"/>
          <w:sz w:val="24"/>
          <w:szCs w:val="24"/>
        </w:rPr>
      </w:pPr>
      <w:r w:rsidRPr="008555D7">
        <w:rPr>
          <w:rFonts w:ascii="Times New Roman" w:hAnsi="Times New Roman"/>
          <w:b/>
          <w:color w:val="000000"/>
          <w:sz w:val="24"/>
          <w:szCs w:val="24"/>
        </w:rPr>
        <w:t>2. Prawo własności intelektualnej w UE</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b/>
          <w:color w:val="000000"/>
          <w:sz w:val="24"/>
          <w:szCs w:val="24"/>
        </w:rPr>
      </w:pP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sz w:val="24"/>
          <w:szCs w:val="24"/>
        </w:rPr>
      </w:pPr>
      <w:r w:rsidRPr="008555D7">
        <w:rPr>
          <w:rFonts w:ascii="Times New Roman" w:hAnsi="Times New Roman"/>
          <w:color w:val="000000"/>
          <w:sz w:val="24"/>
          <w:szCs w:val="24"/>
        </w:rPr>
        <w:lastRenderedPageBreak/>
        <w:tab/>
        <w:t xml:space="preserve">Powinno być oczywistym, ze dla Polski jako państwa UE podstawowe znaczenie mają postanowienia </w:t>
      </w:r>
      <w:r w:rsidRPr="008555D7">
        <w:rPr>
          <w:rStyle w:val="Bold"/>
          <w:rFonts w:ascii="Times New Roman" w:hAnsi="Times New Roman"/>
          <w:sz w:val="24"/>
          <w:szCs w:val="24"/>
        </w:rPr>
        <w:t>Konwencji luksemburskiej</w:t>
      </w:r>
      <w:r w:rsidRPr="008555D7">
        <w:rPr>
          <w:rFonts w:ascii="Times New Roman" w:hAnsi="Times New Roman"/>
          <w:color w:val="000000"/>
          <w:sz w:val="24"/>
          <w:szCs w:val="24"/>
        </w:rPr>
        <w:t xml:space="preserve"> z 1975 r. o patencie Wspólnoty oraz bardzo licznych </w:t>
      </w:r>
      <w:r w:rsidRPr="008555D7">
        <w:rPr>
          <w:rStyle w:val="Bold"/>
          <w:rFonts w:ascii="Times New Roman" w:hAnsi="Times New Roman"/>
          <w:sz w:val="24"/>
          <w:szCs w:val="24"/>
        </w:rPr>
        <w:t xml:space="preserve">dyrektyw i rozporządzeń unijnych. </w:t>
      </w:r>
      <w:r w:rsidRPr="008555D7">
        <w:rPr>
          <w:rStyle w:val="Bold"/>
          <w:rFonts w:ascii="Times New Roman" w:hAnsi="Times New Roman"/>
          <w:b w:val="0"/>
          <w:sz w:val="24"/>
          <w:szCs w:val="24"/>
        </w:rPr>
        <w:t xml:space="preserve">Przykładowo bardzo obszerna ustawa </w:t>
      </w:r>
      <w:r w:rsidRPr="008555D7">
        <w:rPr>
          <w:rFonts w:ascii="Times New Roman" w:hAnsi="Times New Roman"/>
          <w:sz w:val="24"/>
          <w:szCs w:val="24"/>
        </w:rPr>
        <w:t xml:space="preserve">z dnia 15 czerwca 2018 r. </w:t>
      </w:r>
      <w:r w:rsidRPr="008555D7">
        <w:rPr>
          <w:rFonts w:ascii="Times New Roman" w:hAnsi="Times New Roman"/>
          <w:b/>
          <w:bCs/>
          <w:sz w:val="24"/>
          <w:szCs w:val="24"/>
        </w:rPr>
        <w:t>o zbiorowym zarządzaniu prawami autorskimi i prawami pokrewnymi</w:t>
      </w:r>
      <w:r w:rsidRPr="008555D7">
        <w:rPr>
          <w:rFonts w:ascii="Times New Roman" w:hAnsi="Times New Roman"/>
          <w:sz w:val="24"/>
          <w:szCs w:val="24"/>
        </w:rPr>
        <w:t xml:space="preserve"> wdraża dyrektywę Parlamentu Europejskiego i Rady 2014/26/UE z dnia 26 lutego 2014 r. w sprawie zbiorowego zarządzania prawami autorskimi i prawami pokrewnymi oraz udzielania licencji </w:t>
      </w:r>
      <w:proofErr w:type="spellStart"/>
      <w:r w:rsidRPr="008555D7">
        <w:rPr>
          <w:rFonts w:ascii="Times New Roman" w:hAnsi="Times New Roman"/>
          <w:sz w:val="24"/>
          <w:szCs w:val="24"/>
        </w:rPr>
        <w:t>wieloterytorialnych</w:t>
      </w:r>
      <w:proofErr w:type="spellEnd"/>
      <w:r w:rsidRPr="008555D7">
        <w:rPr>
          <w:rFonts w:ascii="Times New Roman" w:hAnsi="Times New Roman"/>
          <w:sz w:val="24"/>
          <w:szCs w:val="24"/>
        </w:rPr>
        <w:t xml:space="preserve"> dotyczących praw do utworów muzycznych do korzystania </w:t>
      </w:r>
      <w:r w:rsidRPr="008555D7">
        <w:rPr>
          <w:rFonts w:ascii="Times New Roman" w:hAnsi="Times New Roman"/>
          <w:i/>
          <w:iCs/>
          <w:sz w:val="24"/>
          <w:szCs w:val="24"/>
        </w:rPr>
        <w:t xml:space="preserve">online </w:t>
      </w:r>
      <w:r w:rsidRPr="008555D7">
        <w:rPr>
          <w:rFonts w:ascii="Times New Roman" w:hAnsi="Times New Roman"/>
          <w:sz w:val="24"/>
          <w:szCs w:val="24"/>
        </w:rPr>
        <w:t>na rynku wewnętrznym (Dz. Urz. UE L 84 z 20.03.2014, str. 72). Można uznać, że w zakresie standardów ochronnych polskie prawo własności intelektualnej odpowiada przede wszystkim standardom UE, a więc zasadniczo wprowadza bardzo wysoki poziom ochrony przedmiotów własności intelektualnej. Szczegółowo kwestiami z tym związanymi zajmiemy ssie w trakcie dalszych części wykładu.</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Fonts w:ascii="Times New Roman" w:hAnsi="Times New Roman"/>
          <w:sz w:val="24"/>
          <w:szCs w:val="24"/>
        </w:rPr>
      </w:pPr>
    </w:p>
    <w:p w:rsidR="00C77439"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Style w:val="Bold"/>
          <w:rFonts w:ascii="Times New Roman" w:hAnsi="Times New Roman"/>
          <w:sz w:val="24"/>
          <w:szCs w:val="24"/>
        </w:rPr>
      </w:pPr>
      <w:r w:rsidRPr="008555D7">
        <w:rPr>
          <w:rFonts w:ascii="Times New Roman" w:hAnsi="Times New Roman"/>
          <w:b/>
          <w:sz w:val="24"/>
          <w:szCs w:val="24"/>
        </w:rPr>
        <w:t xml:space="preserve">3. </w:t>
      </w:r>
      <w:r w:rsidRPr="008555D7">
        <w:rPr>
          <w:rFonts w:ascii="Times New Roman" w:hAnsi="Times New Roman"/>
          <w:sz w:val="24"/>
          <w:szCs w:val="24"/>
        </w:rPr>
        <w:t xml:space="preserve"> </w:t>
      </w:r>
      <w:r w:rsidRPr="008555D7">
        <w:rPr>
          <w:rStyle w:val="Bold"/>
          <w:rFonts w:ascii="Times New Roman" w:hAnsi="Times New Roman"/>
          <w:sz w:val="24"/>
          <w:szCs w:val="24"/>
        </w:rPr>
        <w:t>Światowa Organizacja Własności Intelektualnej</w:t>
      </w:r>
    </w:p>
    <w:p w:rsidR="00C77439" w:rsidRPr="008555D7" w:rsidRDefault="00C77439" w:rsidP="00C77439">
      <w:pPr>
        <w:widowControl w:val="0"/>
        <w:tabs>
          <w:tab w:val="left" w:pos="850"/>
          <w:tab w:val="left" w:pos="6379"/>
        </w:tabs>
        <w:autoSpaceDE w:val="0"/>
        <w:autoSpaceDN w:val="0"/>
        <w:adjustRightInd w:val="0"/>
        <w:spacing w:after="0" w:line="360" w:lineRule="auto"/>
        <w:ind w:firstLine="709"/>
        <w:jc w:val="both"/>
        <w:textAlignment w:val="center"/>
        <w:rPr>
          <w:rStyle w:val="Bold"/>
          <w:rFonts w:ascii="Times New Roman" w:hAnsi="Times New Roman"/>
          <w:b w:val="0"/>
          <w:sz w:val="24"/>
          <w:szCs w:val="24"/>
        </w:rPr>
      </w:pPr>
    </w:p>
    <w:p w:rsidR="00C77439" w:rsidRDefault="00C77439" w:rsidP="00C77439">
      <w:pPr>
        <w:widowControl w:val="0"/>
        <w:pBdr>
          <w:bottom w:val="single" w:sz="4" w:space="1" w:color="auto"/>
        </w:pBdr>
        <w:tabs>
          <w:tab w:val="left" w:pos="850"/>
          <w:tab w:val="left" w:pos="6379"/>
        </w:tabs>
        <w:autoSpaceDE w:val="0"/>
        <w:autoSpaceDN w:val="0"/>
        <w:adjustRightInd w:val="0"/>
        <w:spacing w:after="0" w:line="360" w:lineRule="auto"/>
        <w:ind w:firstLine="709"/>
        <w:jc w:val="both"/>
        <w:textAlignment w:val="center"/>
        <w:rPr>
          <w:rFonts w:ascii="Times New Roman" w:hAnsi="Times New Roman"/>
          <w:color w:val="000000"/>
          <w:sz w:val="24"/>
          <w:szCs w:val="24"/>
        </w:rPr>
      </w:pPr>
      <w:r w:rsidRPr="008555D7">
        <w:rPr>
          <w:rFonts w:ascii="Times New Roman" w:hAnsi="Times New Roman"/>
          <w:color w:val="000000"/>
          <w:sz w:val="24"/>
          <w:szCs w:val="24"/>
        </w:rPr>
        <w:tab/>
        <w:t>Współpraca między stałymi organami związku paryskiego i związku berneńskiego (zrzeszającego sygnatariuszy Konwencji berneńskiej i paryskiej) doprowadziła w Sztokholmie, w 1967 r., do powołania wspólnej dla obu związków (skróty nazwy – ang.: WIPO, fr.: OMPI), obejmującej swoją działalnością ogół, w istocie pokrewnych spraw związanych z ochroną własności artystycznej, naukowej i literackiej oraz własności przemysłowej. Polska przystąpiła do tej organizacji w 1975 r. i szereg rozwiązań prawa wewnętrznego jest wynikiem ratyfikacji konwencji uchwalanych w ramach WIPO. Odgrywały one zasadniczą rolę w kształtowaniu wewnętrznego prawa polskiego zwłaszcza przed przystąpieniem Polski do UE.</w:t>
      </w:r>
    </w:p>
    <w:p w:rsidR="00F62FC3" w:rsidRDefault="00CF5554"/>
    <w:sectPr w:rsidR="00F62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39"/>
    <w:rsid w:val="0060589F"/>
    <w:rsid w:val="00C77439"/>
    <w:rsid w:val="00CF2874"/>
    <w:rsid w:val="00CF55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6884"/>
  <w15:chartTrackingRefBased/>
  <w15:docId w15:val="{A12B1828-AF61-4483-AAA7-8FC593C7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77439"/>
    <w:pPr>
      <w:spacing w:after="200" w:line="276" w:lineRule="auto"/>
    </w:pPr>
    <w:rPr>
      <w:rFonts w:ascii="Calibri" w:eastAsia="Calibri" w:hAnsi="Calibri" w:cs="Times New Roman"/>
    </w:rPr>
  </w:style>
  <w:style w:type="paragraph" w:styleId="Nagwek1">
    <w:name w:val="heading 1"/>
    <w:basedOn w:val="Normalny"/>
    <w:link w:val="Nagwek1Znak"/>
    <w:uiPriority w:val="9"/>
    <w:qFormat/>
    <w:rsid w:val="00C77439"/>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77439"/>
    <w:rPr>
      <w:rFonts w:ascii="Times New Roman" w:eastAsia="Times New Roman" w:hAnsi="Times New Roman" w:cs="Times New Roman"/>
      <w:b/>
      <w:bCs/>
      <w:kern w:val="36"/>
      <w:sz w:val="48"/>
      <w:szCs w:val="48"/>
      <w:lang w:eastAsia="pl-PL"/>
    </w:rPr>
  </w:style>
  <w:style w:type="character" w:customStyle="1" w:styleId="Bold">
    <w:name w:val="Bold"/>
    <w:uiPriority w:val="99"/>
    <w:rsid w:val="00C77439"/>
    <w:rPr>
      <w:b/>
      <w:bCs/>
      <w:color w:val="000000"/>
      <w:w w:val="100"/>
      <w:u w:val="none"/>
      <w:vertAlign w:val="baseline"/>
    </w:rPr>
  </w:style>
  <w:style w:type="paragraph" w:customStyle="1" w:styleId="StandardowyNB">
    <w:name w:val="Standardowy_NB"/>
    <w:uiPriority w:val="99"/>
    <w:rsid w:val="00C77439"/>
    <w:pPr>
      <w:widowControl w:val="0"/>
      <w:tabs>
        <w:tab w:val="left" w:pos="850"/>
      </w:tabs>
      <w:autoSpaceDE w:val="0"/>
      <w:autoSpaceDN w:val="0"/>
      <w:adjustRightInd w:val="0"/>
      <w:spacing w:after="0" w:line="243" w:lineRule="atLeast"/>
      <w:ind w:left="454" w:right="454" w:firstLine="227"/>
      <w:jc w:val="both"/>
      <w:textAlignment w:val="center"/>
    </w:pPr>
    <w:rPr>
      <w:rFonts w:ascii="Times New Roman" w:eastAsia="Times New Roman" w:hAnsi="Times New Roman" w:cs="Times New Roman"/>
      <w:color w:val="000000"/>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5163406E526D46AF551C6E4307D061" ma:contentTypeVersion="0" ma:contentTypeDescription="Utwórz nowy dokument." ma:contentTypeScope="" ma:versionID="c9852ae029f376e7a53d73cd6f46e1c7">
  <xsd:schema xmlns:xsd="http://www.w3.org/2001/XMLSchema" xmlns:xs="http://www.w3.org/2001/XMLSchema" xmlns:p="http://schemas.microsoft.com/office/2006/metadata/properties" targetNamespace="http://schemas.microsoft.com/office/2006/metadata/properties" ma:root="true" ma:fieldsID="0c74f0a4605ce4da9856928fb8c32d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FF63B0-73AB-4D62-9EC7-94ABED611206}"/>
</file>

<file path=customXml/itemProps2.xml><?xml version="1.0" encoding="utf-8"?>
<ds:datastoreItem xmlns:ds="http://schemas.openxmlformats.org/officeDocument/2006/customXml" ds:itemID="{694E5EE0-3D0D-4724-9964-0FD3013AB193}"/>
</file>

<file path=customXml/itemProps3.xml><?xml version="1.0" encoding="utf-8"?>
<ds:datastoreItem xmlns:ds="http://schemas.openxmlformats.org/officeDocument/2006/customXml" ds:itemID="{D1B6F0FE-CD68-41BF-A159-ED10DA83A1DC}"/>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5035</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Jezioro</dc:creator>
  <cp:keywords/>
  <dc:description/>
  <cp:lastModifiedBy>Julian Jezioro</cp:lastModifiedBy>
  <cp:revision>2</cp:revision>
  <dcterms:created xsi:type="dcterms:W3CDTF">2021-10-18T07:36:00Z</dcterms:created>
  <dcterms:modified xsi:type="dcterms:W3CDTF">2021-10-18T07:38:00Z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0x0101008C5163406E526D46AF551C6E4307D061</vt:lpwstr>
  </property>
</Properties>
</file>