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00"/>
        <w:jc w:val="center"/>
      </w:pPr>
      <w:r>
        <w:rPr>
          <w:rFonts w:ascii="Arial" w:cs="Arial" w:eastAsia="Arial" w:hAnsi="Arial"/>
          <w:b/>
          <w:bCs/>
          <w:color w:val="1E4D78"/>
          <w:sz w:val="56"/>
          <w:szCs w:val="56"/>
        </w:rPr>
        <w:t xml:space="preserve">Tax Gap Detection &amp; Compliance Validation Service</w:t>
      </w:r>
    </w:p>
    <w:p>
      <w:pPr>
        <w:spacing w:before="0" w:after="200"/>
        <w:jc w:val="center"/>
      </w:pPr>
      <w:r>
        <w:rPr>
          <w:rFonts w:ascii="Arial" w:cs="Arial" w:eastAsia="Arial" w:hAnsi="Arial"/>
          <w:color w:val="555555"/>
          <w:sz w:val="30"/>
          <w:szCs w:val="30"/>
        </w:rPr>
        <w:t xml:space="preserve">Design &amp; Architecture Document</w:t>
      </w:r>
    </w:p>
    <w:p>
      <w:pPr>
        <w:spacing w:before="0" w:after="200"/>
        <w:jc w:val="center"/>
      </w:pPr>
      <w:r>
        <w:rPr>
          <w:rFonts w:ascii="Arial" w:cs="Arial" w:eastAsia="Arial" w:hAnsi="Arial"/>
          <w:color w:val="888888"/>
          <w:sz w:val="24"/>
          <w:szCs w:val="24"/>
        </w:rPr>
        <w:t xml:space="preserve">Spring Boot 3.2.5  |  Java 17  |  PostgreSQL</w:t>
      </w:r>
    </w:p>
    <w:p>
      <w:pPr>
        <w:spacing w:before="0" w:after="1440"/>
        <w:jc w:val="center"/>
      </w:pPr>
      <w:r>
        <w:rPr>
          <w:rFonts w:ascii="Arial" w:cs="Arial" w:eastAsia="Arial" w:hAnsi="Arial"/>
          <w:color w:val="AAAAAA"/>
          <w:sz w:val="22"/>
          <w:szCs w:val="22"/>
        </w:rPr>
        <w:t xml:space="preserve">Version 1.0  |  2024</w:t>
      </w:r>
    </w:p>
    <w:p>
      <w:pPr>
        <w:spacing w:before="360" w:after="160"/>
      </w:pPr>
      <w:r>
        <w:rPr>
          <w:rFonts w:ascii="Arial" w:cs="Arial" w:eastAsia="Arial" w:hAnsi="Arial"/>
          <w:b/>
          <w:bCs/>
          <w:color w:val="1E4D78"/>
          <w:sz w:val="34"/>
          <w:szCs w:val="34"/>
        </w:rPr>
        <w:t xml:space="preserve">1. System Overview</w:t>
      </w:r>
    </w:p>
    <w:p>
      <w:pPr>
        <w:spacing w:before="80" w:after="100"/>
      </w:pPr>
      <w:r>
        <w:rPr>
          <w:rFonts w:ascii="Arial" w:cs="Arial" w:eastAsia="Arial" w:hAnsi="Arial"/>
          <w:sz w:val="22"/>
          <w:szCs w:val="22"/>
        </w:rPr>
        <w:t xml:space="preserve">The Tax Gap Detection &amp; Compliance Validation Service is a RESTful backend application built with Spring Boot 3.x. It is designed for tax auditors to receive batches of financial transactions, validate them, compute expected taxes, detect tax gaps, and enforce configurable compliance rules using a database-driven rule engine.</w:t>
      </w:r>
    </w:p>
    <w:p>
      <w:pPr>
        <w:spacing w:before="120" w:after="40"/>
      </w:pPr>
      <w:r>
        <w:t xml:space="preserve"/>
      </w:r>
    </w:p>
    <w:p>
      <w:pPr>
        <w:spacing w:before="80" w:after="100"/>
      </w:pPr>
      <w:r>
        <w:rPr>
          <w:rFonts w:ascii="Arial" w:cs="Arial" w:eastAsia="Arial" w:hAnsi="Arial"/>
          <w:sz w:val="22"/>
          <w:szCs w:val="22"/>
        </w:rPr>
        <w:t xml:space="preserve">Key capabilities:</w:t>
      </w:r>
    </w:p>
    <w:p>
      <w:pPr>
        <w:pStyle w:val="ListParagraph"/>
        <w:numPr>
          <w:ilvl w:val="0"/>
          <w:numId w:val="2"/>
        </w:numPr>
        <w:spacing w:before="60" w:after="60"/>
      </w:pPr>
      <w:r>
        <w:rPr>
          <w:rFonts w:ascii="Arial" w:cs="Arial" w:eastAsia="Arial" w:hAnsi="Arial"/>
          <w:sz w:val="22"/>
          <w:szCs w:val="22"/>
        </w:rPr>
        <w:t xml:space="preserve">Batch upload and validation of financial transactions via REST API</w:t>
      </w:r>
    </w:p>
    <w:p>
      <w:pPr>
        <w:pStyle w:val="ListParagraph"/>
        <w:numPr>
          <w:ilvl w:val="0"/>
          <w:numId w:val="2"/>
        </w:numPr>
        <w:spacing w:before="60" w:after="60"/>
      </w:pPr>
      <w:r>
        <w:rPr>
          <w:rFonts w:ascii="Arial" w:cs="Arial" w:eastAsia="Arial" w:hAnsi="Arial"/>
          <w:sz w:val="22"/>
          <w:szCs w:val="22"/>
        </w:rPr>
        <w:t xml:space="preserve">Automatic tax gap calculation: expectedTax = amount × taxRate</w:t>
      </w:r>
    </w:p>
    <w:p>
      <w:pPr>
        <w:pStyle w:val="ListParagraph"/>
        <w:numPr>
          <w:ilvl w:val="0"/>
          <w:numId w:val="2"/>
        </w:numPr>
        <w:spacing w:before="60" w:after="60"/>
      </w:pPr>
      <w:r>
        <w:rPr>
          <w:rFonts w:ascii="Arial" w:cs="Arial" w:eastAsia="Arial" w:hAnsi="Arial"/>
          <w:sz w:val="22"/>
          <w:szCs w:val="22"/>
        </w:rPr>
        <w:t xml:space="preserve">Database-driven rule engine — rules stored in PostgreSQL, configurable without code changes</w:t>
      </w:r>
    </w:p>
    <w:p>
      <w:pPr>
        <w:pStyle w:val="ListParagraph"/>
        <w:numPr>
          <w:ilvl w:val="0"/>
          <w:numId w:val="2"/>
        </w:numPr>
        <w:spacing w:before="60" w:after="60"/>
      </w:pPr>
      <w:r>
        <w:rPr>
          <w:rFonts w:ascii="Arial" w:cs="Arial" w:eastAsia="Arial" w:hAnsi="Arial"/>
          <w:sz w:val="22"/>
          <w:szCs w:val="22"/>
        </w:rPr>
        <w:t xml:space="preserve">Exception management: rule violations stored with severity (HIGH / MEDIUM / LOW)</w:t>
      </w:r>
    </w:p>
    <w:p>
      <w:pPr>
        <w:pStyle w:val="ListParagraph"/>
        <w:numPr>
          <w:ilvl w:val="0"/>
          <w:numId w:val="2"/>
        </w:numPr>
        <w:spacing w:before="60" w:after="60"/>
      </w:pPr>
      <w:r>
        <w:rPr>
          <w:rFonts w:ascii="Arial" w:cs="Arial" w:eastAsia="Arial" w:hAnsi="Arial"/>
          <w:sz w:val="22"/>
          <w:szCs w:val="22"/>
        </w:rPr>
        <w:t xml:space="preserve">Full audit trail for every ingestion, tax calculation, and rule check</w:t>
      </w:r>
    </w:p>
    <w:p>
      <w:pPr>
        <w:pStyle w:val="ListParagraph"/>
        <w:numPr>
          <w:ilvl w:val="0"/>
          <w:numId w:val="2"/>
        </w:numPr>
        <w:spacing w:before="60" w:after="60"/>
      </w:pPr>
      <w:r>
        <w:rPr>
          <w:rFonts w:ascii="Arial" w:cs="Arial" w:eastAsia="Arial" w:hAnsi="Arial"/>
          <w:sz w:val="22"/>
          <w:szCs w:val="22"/>
        </w:rPr>
        <w:t xml:space="preserve">Reporting APIs: customer tax summary and exception summary</w:t>
      </w:r>
    </w:p>
    <w:p>
      <w:pPr>
        <w:spacing w:before="120" w:after="40"/>
      </w:pPr>
      <w:r>
        <w:t xml:space="preserve"/>
      </w:r>
    </w:p>
    <w:p>
      <w:pPr>
        <w:spacing w:before="360" w:after="160"/>
      </w:pPr>
      <w:r>
        <w:rPr>
          <w:rFonts w:ascii="Arial" w:cs="Arial" w:eastAsia="Arial" w:hAnsi="Arial"/>
          <w:b/>
          <w:bCs/>
          <w:color w:val="1E4D78"/>
          <w:sz w:val="34"/>
          <w:szCs w:val="34"/>
        </w:rPr>
        <w:t xml:space="preserve">2. Layered Architecture</w:t>
      </w:r>
    </w:p>
    <w:p>
      <w:pPr>
        <w:spacing w:before="80" w:after="100"/>
      </w:pPr>
      <w:r>
        <w:rPr>
          <w:rFonts w:ascii="Arial" w:cs="Arial" w:eastAsia="Arial" w:hAnsi="Arial"/>
          <w:sz w:val="22"/>
          <w:szCs w:val="22"/>
        </w:rPr>
        <w:t xml:space="preserve">The application follows a clean 3-layer architecture: Controller → Service → Repository → Database.</w:t>
      </w:r>
    </w:p>
    <w:p>
      <w:pPr>
        <w:spacing w:before="12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7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com.tax.controller</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Handles HTTP requests and returns JSON responses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com.tax.service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validation, tax calculation, rule checks</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com.tax.repository</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Database access via Spring Data JPA (no SQL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com.tax.entity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 entity classes mapped to PostgreSQL tables</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DTO</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com.tax.dto</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Request/Response data transfer objects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com.tax.seeder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Auto-inserts default rules on first startup</w:t>
            </w:r>
          </w:p>
        </w:tc>
      </w:tr>
    </w:tbl>
    <w:p>
      <w:pPr>
        <w:spacing w:before="120" w:after="40"/>
      </w:pPr>
      <w:r>
        <w:t xml:space="preserve"/>
      </w:r>
    </w:p>
    <w:p>
      <w:pPr>
        <w:spacing w:before="240" w:after="120"/>
      </w:pPr>
      <w:r>
        <w:rPr>
          <w:rFonts w:ascii="Arial" w:cs="Arial" w:eastAsia="Arial" w:hAnsi="Arial"/>
          <w:b/>
          <w:bCs/>
          <w:color w:val="2E75B6"/>
          <w:sz w:val="26"/>
          <w:szCs w:val="26"/>
        </w:rPr>
        <w:t xml:space="preserve">2.1 Transaction Processing Flow</w:t>
      </w:r>
    </w:p>
    <w:p>
      <w:pPr>
        <w:spacing w:before="80" w:after="100"/>
      </w:pPr>
      <w:r>
        <w:rPr>
          <w:rFonts w:ascii="Arial" w:cs="Arial" w:eastAsia="Arial" w:hAnsi="Arial"/>
          <w:sz w:val="22"/>
          <w:szCs w:val="22"/>
        </w:rPr>
        <w:t xml:space="preserve">When a batch upload request is received, each transaction goes through these steps:</w:t>
      </w:r>
    </w:p>
    <w:p>
      <w:pPr>
        <w:spacing w:before="120" w:after="40"/>
      </w:pPr>
      <w:r>
        <w:t xml:space="preserve"/>
      </w:r>
    </w:p>
    <w:p>
      <w:pPr>
        <w:spacing w:before="40" w:after="40"/>
        <w:ind w:left="720"/>
      </w:pPr>
      <w:r>
        <w:rPr>
          <w:rFonts w:ascii="Courier New" w:cs="Courier New" w:eastAsia="Courier New" w:hAnsi="Courier New"/>
          <w:color w:val="333333"/>
          <w:sz w:val="20"/>
          <w:szCs w:val="20"/>
        </w:rPr>
        <w:t xml:space="preserve">POST /api/transactions/batch</w:t>
      </w:r>
    </w:p>
    <w:p>
      <w:pPr>
        <w:spacing w:before="40" w:after="40"/>
        <w:ind w:left="720"/>
      </w:pPr>
      <w:r>
        <w:rPr>
          <w:rFonts w:ascii="Courier New" w:cs="Courier New" w:eastAsia="Courier New" w:hAnsi="Courier New"/>
          <w:color w:val="333333"/>
          <w:sz w:val="20"/>
          <w:szCs w:val="20"/>
        </w:rPr>
        <w:t xml:space="preserve">   ↓</w:t>
      </w:r>
    </w:p>
    <w:p>
      <w:pPr>
        <w:spacing w:before="40" w:after="40"/>
        <w:ind w:left="720"/>
      </w:pPr>
      <w:r>
        <w:rPr>
          <w:rFonts w:ascii="Courier New" w:cs="Courier New" w:eastAsia="Courier New" w:hAnsi="Courier New"/>
          <w:color w:val="333333"/>
          <w:sz w:val="20"/>
          <w:szCs w:val="20"/>
        </w:rPr>
        <w:t xml:space="preserve">1. VALIDATE — check required fields, amount &gt; 0, no duplicate transactionId</w:t>
      </w:r>
    </w:p>
    <w:p>
      <w:pPr>
        <w:spacing w:before="40" w:after="40"/>
        <w:ind w:left="720"/>
      </w:pPr>
      <w:r>
        <w:rPr>
          <w:rFonts w:ascii="Courier New" w:cs="Courier New" w:eastAsia="Courier New" w:hAnsi="Courier New"/>
          <w:color w:val="333333"/>
          <w:sz w:val="20"/>
          <w:szCs w:val="20"/>
        </w:rPr>
        <w:t xml:space="preserve">   ↓  if errors → save as FAILURE, log to audit_logs, skip steps 2-3</w:t>
      </w:r>
    </w:p>
    <w:p>
      <w:pPr>
        <w:spacing w:before="40" w:after="40"/>
        <w:ind w:left="720"/>
      </w:pPr>
      <w:r>
        <w:rPr>
          <w:rFonts w:ascii="Courier New" w:cs="Courier New" w:eastAsia="Courier New" w:hAnsi="Courier New"/>
          <w:color w:val="333333"/>
          <w:sz w:val="20"/>
          <w:szCs w:val="20"/>
        </w:rPr>
        <w:t xml:space="preserve">2. CALCULATE TAX</w:t>
      </w:r>
    </w:p>
    <w:p>
      <w:pPr>
        <w:spacing w:before="40" w:after="40"/>
        <w:ind w:left="720"/>
      </w:pPr>
      <w:r>
        <w:rPr>
          <w:rFonts w:ascii="Courier New" w:cs="Courier New" w:eastAsia="Courier New" w:hAnsi="Courier New"/>
          <w:color w:val="333333"/>
          <w:sz w:val="20"/>
          <w:szCs w:val="20"/>
        </w:rPr>
        <w:t xml:space="preserve">   expectedTax = amount × taxRate</w:t>
      </w:r>
    </w:p>
    <w:p>
      <w:pPr>
        <w:spacing w:before="40" w:after="40"/>
        <w:ind w:left="720"/>
      </w:pPr>
      <w:r>
        <w:rPr>
          <w:rFonts w:ascii="Courier New" w:cs="Courier New" w:eastAsia="Courier New" w:hAnsi="Courier New"/>
          <w:color w:val="333333"/>
          <w:sz w:val="20"/>
          <w:szCs w:val="20"/>
        </w:rPr>
        <w:t xml:space="preserve">   taxGap      = expectedTax - reportedTax</w:t>
      </w:r>
    </w:p>
    <w:p>
      <w:pPr>
        <w:spacing w:before="40" w:after="40"/>
        <w:ind w:left="720"/>
      </w:pPr>
      <w:r>
        <w:rPr>
          <w:rFonts w:ascii="Courier New" w:cs="Courier New" w:eastAsia="Courier New" w:hAnsi="Courier New"/>
          <w:color w:val="333333"/>
          <w:sz w:val="20"/>
          <w:szCs w:val="20"/>
        </w:rPr>
        <w:t xml:space="preserve">   status:  |taxGap| ≤ 1          → COMPLIANT</w:t>
      </w:r>
    </w:p>
    <w:p>
      <w:pPr>
        <w:spacing w:before="40" w:after="40"/>
        <w:ind w:left="720"/>
      </w:pPr>
      <w:r>
        <w:rPr>
          <w:rFonts w:ascii="Courier New" w:cs="Courier New" w:eastAsia="Courier New" w:hAnsi="Courier New"/>
          <w:color w:val="333333"/>
          <w:sz w:val="20"/>
          <w:szCs w:val="20"/>
        </w:rPr>
        <w:t xml:space="preserve">            taxGap  &gt; 1            → UNDERPAID</w:t>
      </w:r>
    </w:p>
    <w:p>
      <w:pPr>
        <w:spacing w:before="40" w:after="40"/>
        <w:ind w:left="720"/>
      </w:pPr>
      <w:r>
        <w:rPr>
          <w:rFonts w:ascii="Courier New" w:cs="Courier New" w:eastAsia="Courier New" w:hAnsi="Courier New"/>
          <w:color w:val="333333"/>
          <w:sz w:val="20"/>
          <w:szCs w:val="20"/>
        </w:rPr>
        <w:t xml:space="preserve">            taxGap  &lt; -1           → OVERPAID</w:t>
      </w:r>
    </w:p>
    <w:p>
      <w:pPr>
        <w:spacing w:before="40" w:after="40"/>
        <w:ind w:left="720"/>
      </w:pPr>
      <w:r>
        <w:rPr>
          <w:rFonts w:ascii="Courier New" w:cs="Courier New" w:eastAsia="Courier New" w:hAnsi="Courier New"/>
          <w:color w:val="333333"/>
          <w:sz w:val="20"/>
          <w:szCs w:val="20"/>
        </w:rPr>
        <w:t xml:space="preserve">            reportedTax is null    → NON_COMPLIANT</w:t>
      </w:r>
    </w:p>
    <w:p>
      <w:pPr>
        <w:spacing w:before="40" w:after="40"/>
        <w:ind w:left="720"/>
      </w:pPr>
      <w:r>
        <w:rPr>
          <w:rFonts w:ascii="Courier New" w:cs="Courier New" w:eastAsia="Courier New" w:hAnsi="Courier New"/>
          <w:color w:val="333333"/>
          <w:sz w:val="20"/>
          <w:szCs w:val="20"/>
        </w:rPr>
        <w:t xml:space="preserve">   ↓</w:t>
      </w:r>
    </w:p>
    <w:p>
      <w:pPr>
        <w:spacing w:before="40" w:after="40"/>
        <w:ind w:left="720"/>
      </w:pPr>
      <w:r>
        <w:rPr>
          <w:rFonts w:ascii="Courier New" w:cs="Courier New" w:eastAsia="Courier New" w:hAnsi="Courier New"/>
          <w:color w:val="333333"/>
          <w:sz w:val="20"/>
          <w:szCs w:val="20"/>
        </w:rPr>
        <w:t xml:space="preserve">3. RUN RULES (all enabled rules from DB)</w:t>
      </w:r>
    </w:p>
    <w:p>
      <w:pPr>
        <w:spacing w:before="40" w:after="40"/>
        <w:ind w:left="720"/>
      </w:pPr>
      <w:r>
        <w:rPr>
          <w:rFonts w:ascii="Courier New" w:cs="Courier New" w:eastAsia="Courier New" w:hAnsi="Courier New"/>
          <w:color w:val="333333"/>
          <w:sz w:val="20"/>
          <w:szCs w:val="20"/>
        </w:rPr>
        <w:t xml:space="preserve">   HIGH_VALUE:    amount &gt; threshold             → exception (HIGH)</w:t>
      </w:r>
    </w:p>
    <w:p>
      <w:pPr>
        <w:spacing w:before="40" w:after="40"/>
        <w:ind w:left="720"/>
      </w:pPr>
      <w:r>
        <w:rPr>
          <w:rFonts w:ascii="Courier New" w:cs="Courier New" w:eastAsia="Courier New" w:hAnsi="Courier New"/>
          <w:color w:val="333333"/>
          <w:sz w:val="20"/>
          <w:szCs w:val="20"/>
        </w:rPr>
        <w:t xml:space="preserve">   REFUND_CHECK:  REFUND type AND amount &gt; max   → exception (HIGH)</w:t>
      </w:r>
    </w:p>
    <w:p>
      <w:pPr>
        <w:spacing w:before="40" w:after="40"/>
        <w:ind w:left="720"/>
      </w:pPr>
      <w:r>
        <w:rPr>
          <w:rFonts w:ascii="Courier New" w:cs="Courier New" w:eastAsia="Courier New" w:hAnsi="Courier New"/>
          <w:color w:val="333333"/>
          <w:sz w:val="20"/>
          <w:szCs w:val="20"/>
        </w:rPr>
        <w:t xml:space="preserve">   GST_SLAB:      amount &gt; slab AND rate &lt; min   → exception (MEDIUM)</w:t>
      </w:r>
    </w:p>
    <w:p>
      <w:pPr>
        <w:spacing w:before="40" w:after="40"/>
        <w:ind w:left="720"/>
      </w:pPr>
      <w:r>
        <w:rPr>
          <w:rFonts w:ascii="Courier New" w:cs="Courier New" w:eastAsia="Courier New" w:hAnsi="Courier New"/>
          <w:color w:val="333333"/>
          <w:sz w:val="20"/>
          <w:szCs w:val="20"/>
        </w:rPr>
        <w:t xml:space="preserve">   ↓</w:t>
      </w:r>
    </w:p>
    <w:p>
      <w:pPr>
        <w:spacing w:before="40" w:after="40"/>
        <w:ind w:left="720"/>
      </w:pPr>
      <w:r>
        <w:rPr>
          <w:rFonts w:ascii="Courier New" w:cs="Courier New" w:eastAsia="Courier New" w:hAnsi="Courier New"/>
          <w:color w:val="333333"/>
          <w:sz w:val="20"/>
          <w:szCs w:val="20"/>
        </w:rPr>
        <w:t xml:space="preserve">4. AUDIT LOG — every step logged to audit_logs table</w:t>
      </w:r>
    </w:p>
    <w:p>
      <w:pPr>
        <w:spacing w:before="40" w:after="40"/>
        <w:ind w:left="720"/>
      </w:pPr>
      <w:r>
        <w:rPr>
          <w:rFonts w:ascii="Courier New" w:cs="Courier New" w:eastAsia="Courier New" w:hAnsi="Courier New"/>
          <w:color w:val="333333"/>
          <w:sz w:val="20"/>
          <w:szCs w:val="20"/>
        </w:rPr>
        <w:t xml:space="preserve">   ↓</w:t>
      </w:r>
    </w:p>
    <w:p>
      <w:pPr>
        <w:spacing w:before="40" w:after="40"/>
        <w:ind w:left="720"/>
      </w:pPr>
      <w:r>
        <w:rPr>
          <w:rFonts w:ascii="Courier New" w:cs="Courier New" w:eastAsia="Courier New" w:hAnsi="Courier New"/>
          <w:color w:val="333333"/>
          <w:sz w:val="20"/>
          <w:szCs w:val="20"/>
        </w:rPr>
        <w:t xml:space="preserve">Return BatchUploadResponse</w:t>
      </w:r>
    </w:p>
    <w:p>
      <w:pPr>
        <w:spacing w:before="120" w:after="40"/>
      </w:pPr>
      <w:r>
        <w:t xml:space="preserve"/>
      </w:r>
    </w:p>
    <w:p>
      <w:pPr>
        <w:spacing w:before="360" w:after="160"/>
      </w:pPr>
      <w:r>
        <w:rPr>
          <w:rFonts w:ascii="Arial" w:cs="Arial" w:eastAsia="Arial" w:hAnsi="Arial"/>
          <w:b/>
          <w:bCs/>
          <w:color w:val="1E4D78"/>
          <w:sz w:val="34"/>
          <w:szCs w:val="34"/>
        </w:rPr>
        <w:t xml:space="preserve">3. Database Schema</w:t>
      </w:r>
    </w:p>
    <w:p>
      <w:pPr>
        <w:spacing w:before="80" w:after="100"/>
      </w:pPr>
      <w:r>
        <w:rPr>
          <w:rFonts w:ascii="Arial" w:cs="Arial" w:eastAsia="Arial" w:hAnsi="Arial"/>
          <w:sz w:val="22"/>
          <w:szCs w:val="22"/>
        </w:rPr>
        <w:t xml:space="preserve">The system uses 5 tables in PostgreSQL. All tables are created automatically by Hibernate on first startup (ddl-auto=update). No manual SQL scripts are required.</w:t>
      </w:r>
    </w:p>
    <w:p>
      <w:pPr>
        <w:spacing w:before="120" w:after="40"/>
      </w:pPr>
      <w:r>
        <w:t xml:space="preserve"/>
      </w:r>
    </w:p>
    <w:p>
      <w:pPr>
        <w:spacing w:before="240" w:after="120"/>
      </w:pPr>
      <w:r>
        <w:rPr>
          <w:rFonts w:ascii="Arial" w:cs="Arial" w:eastAsia="Arial" w:hAnsi="Arial"/>
          <w:b/>
          <w:bCs/>
          <w:color w:val="2E75B6"/>
          <w:sz w:val="26"/>
          <w:szCs w:val="26"/>
        </w:rPr>
        <w:t xml:space="preserve">transactions — 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BIGSERIAL PK</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 UNIQUE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ID from client (e.g. TX-001)</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Date of the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identifier (e.g. CUST-001)</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NUMERIC(19,4)</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Transaction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NUMERIC(10,6)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rate (0.18 = 18%)</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reported_tax</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NUMERIC(19,4)</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Tax declared by customer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 / REFUND / EXPENSE</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validation_status</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SUCCESS or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failure_reasons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errors if status = FAILURE</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When the record was created</w:t>
            </w:r>
          </w:p>
        </w:tc>
      </w:tr>
    </w:tbl>
    <w:p>
      <w:pPr>
        <w:spacing w:before="120" w:after="40"/>
      </w:pPr>
      <w:r>
        <w:t xml:space="preserve"/>
      </w:r>
    </w:p>
    <w:p>
      <w:pPr>
        <w:spacing w:before="240" w:after="120"/>
      </w:pPr>
      <w:r>
        <w:rPr>
          <w:rFonts w:ascii="Arial" w:cs="Arial" w:eastAsia="Arial" w:hAnsi="Arial"/>
          <w:b/>
          <w:bCs/>
          <w:color w:val="2E75B6"/>
          <w:sz w:val="26"/>
          <w:szCs w:val="26"/>
        </w:rPr>
        <w:t xml:space="preserve">tax_results — stores tax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BIGSERIAL PK</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transactions table</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expected_tax</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NUMERIC(19,4)</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Computed as amount × taxRate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tax_gap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NUMERIC(19,4)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as expectedTax - reportedTax</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compliance_status</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COMPLIANT / UNDERPAID / OVERPAID / NON_COMPLIANT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calculation was performed</w:t>
            </w:r>
          </w:p>
        </w:tc>
      </w:tr>
    </w:tbl>
    <w:p>
      <w:pPr>
        <w:spacing w:before="120" w:after="40"/>
      </w:pPr>
      <w:r>
        <w:t xml:space="preserve"/>
      </w:r>
    </w:p>
    <w:p>
      <w:pPr>
        <w:spacing w:before="240" w:after="120"/>
      </w:pPr>
      <w:r>
        <w:rPr>
          <w:rFonts w:ascii="Arial" w:cs="Arial" w:eastAsia="Arial" w:hAnsi="Arial"/>
          <w:b/>
          <w:bCs/>
          <w:color w:val="2E75B6"/>
          <w:sz w:val="26"/>
          <w:szCs w:val="26"/>
        </w:rPr>
        <w:t xml:space="preserve">tax_exceptions — stores rule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BIGSERIAL PK</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transaction triggered the violation</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Which customer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rule was violated</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severity</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description of the violation</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When the exception was created</w:t>
            </w:r>
          </w:p>
        </w:tc>
      </w:tr>
    </w:tbl>
    <w:p>
      <w:pPr>
        <w:spacing w:before="120" w:after="40"/>
      </w:pPr>
      <w:r>
        <w:t xml:space="preserve"/>
      </w:r>
    </w:p>
    <w:p>
      <w:pPr>
        <w:spacing w:before="240" w:after="120"/>
      </w:pPr>
      <w:r>
        <w:rPr>
          <w:rFonts w:ascii="Arial" w:cs="Arial" w:eastAsia="Arial" w:hAnsi="Arial"/>
          <w:b/>
          <w:bCs/>
          <w:color w:val="2E75B6"/>
          <w:sz w:val="26"/>
          <w:szCs w:val="26"/>
        </w:rPr>
        <w:t xml:space="preserve">tax_rules — configurable rules (DB-driven)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BIGSERIAL PK</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 UNIQUE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HIGH_VALUE / REFUND_CHECK / GST_SLAB</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Human-readable rule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enabled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true = active, false = disabled (no code change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HIGH_VALUE rule (default: 100000)</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max_refund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NUMERIC</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Used by REFUND_CHECK rule (default: 50000)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slab_threshold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GST_SLAB rule (default: 10000)</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min_tax_rate</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NUMERIC</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Used by GST_SLAB rule (default: 0.18)</w:t>
            </w:r>
          </w:p>
        </w:tc>
      </w:tr>
    </w:tbl>
    <w:p>
      <w:pPr>
        <w:spacing w:before="120" w:after="40"/>
      </w:pPr>
      <w:r>
        <w:t xml:space="preserve"/>
      </w:r>
    </w:p>
    <w:p>
      <w:pPr>
        <w:spacing w:before="240" w:after="120"/>
      </w:pPr>
      <w:r>
        <w:rPr>
          <w:rFonts w:ascii="Arial" w:cs="Arial" w:eastAsia="Arial" w:hAnsi="Arial"/>
          <w:b/>
          <w:bCs/>
          <w:color w:val="2E75B6"/>
          <w:sz w:val="26"/>
          <w:szCs w:val="26"/>
        </w:rPr>
        <w:t xml:space="preserve">audit_logs — full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BIGSERIAL PK</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 TAX_CALCULATION / RULE_CHECK</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transaction_id</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VARCHAR</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Which transaction the event relates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 description of what happened</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When the event occurred</w:t>
            </w:r>
          </w:p>
        </w:tc>
      </w:tr>
    </w:tbl>
    <w:p>
      <w:pPr>
        <w:spacing w:before="120" w:after="40"/>
      </w:pPr>
      <w:r>
        <w:t xml:space="preserve"/>
      </w:r>
    </w:p>
    <w:p>
      <w:pPr>
        <w:spacing w:before="360" w:after="160"/>
      </w:pPr>
      <w:r>
        <w:rPr>
          <w:rFonts w:ascii="Arial" w:cs="Arial" w:eastAsia="Arial" w:hAnsi="Arial"/>
          <w:b/>
          <w:bCs/>
          <w:color w:val="1E4D78"/>
          <w:sz w:val="34"/>
          <w:szCs w:val="34"/>
        </w:rPr>
        <w:t xml:space="preserve">4. Rule Engine</w:t>
      </w:r>
    </w:p>
    <w:p>
      <w:pPr>
        <w:spacing w:before="80" w:after="100"/>
      </w:pPr>
      <w:r>
        <w:rPr>
          <w:rFonts w:ascii="Arial" w:cs="Arial" w:eastAsia="Arial" w:hAnsi="Arial"/>
          <w:sz w:val="22"/>
          <w:szCs w:val="22"/>
        </w:rPr>
        <w:t xml:space="preserve">Rules are stored in the tax_rules table and fetched from the database on every request. They can be enabled or disabled by updating the 'enabled' column — no code changes, no restart needed.</w:t>
      </w:r>
    </w:p>
    <w:p>
      <w:pPr>
        <w:spacing w:before="12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600"/>
        <w:gridCol w:w="1160"/>
      </w:tblGrid>
      <w:tr>
        <w:tc>
          <w:tcPr>
            <w:tcW w:type="dxa" w:w="20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16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6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1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HIGH_VALUE</w:t>
            </w:r>
          </w:p>
        </w:tc>
        <w:tc>
          <w:tcPr>
            <w:tcW w:type="dxa" w:w="1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All types</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amount &gt; threshold (default: 1,00,000)</w:t>
            </w:r>
          </w:p>
        </w:tc>
        <w:tc>
          <w:tcPr>
            <w:tcW w:type="dxa" w:w="1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REFUND_CHECK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&gt; maxRefund (default: 50,000)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GST_SLAB</w:t>
            </w:r>
          </w:p>
        </w:tc>
        <w:tc>
          <w:tcPr>
            <w:tcW w:type="dxa" w:w="1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All types</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amount &gt; slabThreshold AND taxRate &lt; minTaxRate</w:t>
            </w:r>
          </w:p>
        </w:tc>
        <w:tc>
          <w:tcPr>
            <w:tcW w:type="dxa" w:w="1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MEDIUM</w:t>
            </w:r>
          </w:p>
        </w:tc>
      </w:tr>
    </w:tbl>
    <w:p>
      <w:pPr>
        <w:spacing w:before="120" w:after="40"/>
      </w:pPr>
      <w:r>
        <w:t xml:space="preserve"/>
      </w:r>
    </w:p>
    <w:p>
      <w:pPr>
        <w:spacing w:before="360" w:after="160"/>
      </w:pPr>
      <w:r>
        <w:rPr>
          <w:rFonts w:ascii="Arial" w:cs="Arial" w:eastAsia="Arial" w:hAnsi="Arial"/>
          <w:b/>
          <w:bCs/>
          <w:color w:val="1E4D78"/>
          <w:sz w:val="34"/>
          <w:szCs w:val="34"/>
        </w:rPr>
        <w:t xml:space="preserve">5. REST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3600"/>
        <w:gridCol w:w="4560"/>
      </w:tblGrid>
      <w:tr>
        <w:tc>
          <w:tcPr>
            <w:tcW w:type="dxa" w:w="4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/api/transactions/batch</w:t>
            </w:r>
          </w:p>
        </w:tc>
        <w:tc>
          <w:tcPr>
            <w:tcW w:type="dxa" w:w="4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Upload batch of transactions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/api/transactions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 transactions</w:t>
            </w:r>
          </w:p>
        </w:tc>
      </w:tr>
      <w:tr>
        <w:tc>
          <w:tcPr>
            <w:tcW w:type="dxa" w:w="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/api/transactions/{id}</w:t>
            </w:r>
          </w:p>
        </w:tc>
        <w:tc>
          <w:tcPr>
            <w:tcW w:type="dxa" w:w="4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Get one transaction by 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/api/exceptions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 exceptions</w:t>
            </w:r>
          </w:p>
        </w:tc>
      </w:tr>
      <w:tr>
        <w:tc>
          <w:tcPr>
            <w:tcW w:type="dxa" w:w="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/api/exceptions?severity=HIGH</w:t>
            </w:r>
          </w:p>
        </w:tc>
        <w:tc>
          <w:tcPr>
            <w:tcW w:type="dxa" w:w="4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Filter exceptions by severity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/api/exceptions?customerId=X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customer</w:t>
            </w:r>
          </w:p>
        </w:tc>
      </w:tr>
      <w:tr>
        <w:tc>
          <w:tcPr>
            <w:tcW w:type="dxa" w:w="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7</w:t>
            </w:r>
          </w:p>
        </w:tc>
        <w:tc>
          <w:tcPr>
            <w:tcW w:type="dxa" w:w="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/api/exceptions?ruleName=X</w:t>
            </w:r>
          </w:p>
        </w:tc>
        <w:tc>
          <w:tcPr>
            <w:tcW w:type="dxa" w:w="4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Filter by rule name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/api/reports/customer-summary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summary per customer</w:t>
            </w:r>
          </w:p>
        </w:tc>
      </w:tr>
      <w:tr>
        <w:tc>
          <w:tcPr>
            <w:tcW w:type="dxa" w:w="4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9</w:t>
            </w:r>
          </w:p>
        </w:tc>
        <w:tc>
          <w:tcPr>
            <w:tcW w:type="dxa" w:w="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/api/reports/exception-summary</w:t>
            </w:r>
          </w:p>
        </w:tc>
        <w:tc>
          <w:tcPr>
            <w:tcW w:type="dxa" w:w="4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Exception count report</w:t>
            </w:r>
          </w:p>
        </w:tc>
      </w:tr>
    </w:tbl>
    <w:p>
      <w:pPr>
        <w:spacing w:before="120" w:after="40"/>
      </w:pPr>
      <w:r>
        <w:t xml:space="preserve"/>
      </w:r>
    </w:p>
    <w:p>
      <w:pPr>
        <w:spacing w:before="360" w:after="160"/>
      </w:pPr>
      <w:r>
        <w:rPr>
          <w:rFonts w:ascii="Arial" w:cs="Arial" w:eastAsia="Arial" w:hAnsi="Arial"/>
          <w:b/>
          <w:bCs/>
          <w:color w:val="1E4D78"/>
          <w:sz w:val="34"/>
          <w:szCs w:val="34"/>
        </w:rPr>
        <w:t xml:space="preserve">6. Testing</w:t>
      </w:r>
    </w:p>
    <w:p>
      <w:pPr>
        <w:spacing w:before="80" w:after="100"/>
      </w:pPr>
      <w:r>
        <w:rPr>
          <w:rFonts w:ascii="Arial" w:cs="Arial" w:eastAsia="Arial" w:hAnsi="Arial"/>
          <w:sz w:val="22"/>
          <w:szCs w:val="22"/>
        </w:rPr>
        <w:t xml:space="preserve">Unit tests cover all service layer business logic using JUnit 5 and Mockito. Tests use mocked repositories — no real PostgreSQL connection required during testing. H2 in-memory database is used for the test profile.</w:t>
      </w:r>
    </w:p>
    <w:p>
      <w:pPr>
        <w:spacing w:before="12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160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Test Count</w:t>
            </w:r>
          </w:p>
        </w:tc>
        <w:tc>
          <w:tcPr>
            <w:tcW w:type="dxa" w:w="4560"/>
            <w:tcBorders>
              <w:top w:val="single" w:color="1E4D78" w:sz="1"/>
              <w:left w:val="single" w:color="1E4D78" w:sz="1"/>
              <w:bottom w:val="single" w:color="1E4D78" w:sz="1"/>
              <w:right w:val="single" w:color="1E4D78" w:sz="1"/>
            </w:tcBorders>
            <w:shd w:fill="1E4D78"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TransactionServiceTest</w:t>
            </w:r>
          </w:p>
        </w:tc>
        <w:tc>
          <w:tcPr>
            <w:tcW w:type="dxa" w:w="16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20 tests</w:t>
            </w:r>
          </w:p>
        </w:tc>
        <w:tc>
          <w:tcPr>
            <w:tcW w:type="dxa" w:w="45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Validation, tax calculation (all 4 statuses), all 3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ExceptionServiceTest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tests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8 filter combinations + empty result</w:t>
            </w:r>
          </w:p>
        </w:tc>
      </w:tr>
    </w:tbl>
    <w:p>
      <w:pPr>
        <w:spacing w:before="120" w:after="40"/>
      </w:pPr>
      <w:r>
        <w:t xml:space="preserve"/>
      </w:r>
    </w:p>
    <w:p>
      <w:pPr>
        <w:spacing w:before="80" w:after="100"/>
      </w:pPr>
      <w:r>
        <w:rPr>
          <w:rFonts w:ascii="Arial" w:cs="Arial" w:eastAsia="Arial" w:hAnsi="Arial"/>
          <w:sz w:val="22"/>
          <w:szCs w:val="22"/>
        </w:rPr>
        <w:t xml:space="preserve">To run tests and generate coverage report:</w:t>
      </w:r>
    </w:p>
    <w:p>
      <w:pPr>
        <w:spacing w:before="40" w:after="40"/>
        <w:ind w:left="720"/>
      </w:pPr>
      <w:r>
        <w:rPr>
          <w:rFonts w:ascii="Courier New" w:cs="Courier New" w:eastAsia="Courier New" w:hAnsi="Courier New"/>
          <w:color w:val="333333"/>
          <w:sz w:val="20"/>
          <w:szCs w:val="20"/>
        </w:rPr>
        <w:t xml:space="preserve">mvn test</w:t>
      </w:r>
    </w:p>
    <w:p>
      <w:pPr>
        <w:spacing w:before="40" w:after="40"/>
        <w:ind w:left="720"/>
      </w:pPr>
      <w:r>
        <w:rPr>
          <w:rFonts w:ascii="Courier New" w:cs="Courier New" w:eastAsia="Courier New" w:hAnsi="Courier New"/>
          <w:color w:val="333333"/>
          <w:sz w:val="20"/>
          <w:szCs w:val="20"/>
        </w:rPr>
        <w:t xml:space="preserve">open target/site/jacoco/index.html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2026-03-17T06:07:31.908Z</dcterms:created>
  <dcterms:modified xsi:type="dcterms:W3CDTF">2026-03-17T06:07:31.909Z</dcterms:modified>
</cp:coreProperties>
</file>

<file path=docProps/custom.xml><?xml version="1.0" encoding="utf-8"?>
<Properties xmlns="http://schemas.openxmlformats.org/officeDocument/2006/custom-properties" xmlns:vt="http://schemas.openxmlformats.org/officeDocument/2006/docPropsVTypes"/>
</file>