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Onboarding Guide</w:t>
      </w:r>
    </w:p>
    <w:p>
      <w:r>
        <w:t xml:space="preserve">This document covers the </w:t>
      </w:r>
      <w:r>
        <w:rPr>
          <w:b/>
        </w:rPr>
        <w:t>account opening</w:t>
      </w:r>
      <w:r>
        <w:t xml:space="preserve"> process. </w:t>
      </w:r>
      <w:r>
        <w:rPr>
          <w:i/>
          <w:color w:val="C00000"/>
        </w:rPr>
        <w:t>Red italic text.</w:t>
      </w:r>
    </w:p>
    <w:p>
      <w:pPr>
        <w:pStyle w:val="Heading1"/>
      </w:pPr>
      <w:r>
        <w:t>Checklist</w:t>
      </w:r>
    </w:p>
    <w:p>
      <w:pPr>
        <w:pStyle w:val="ListBullet"/>
      </w:pPr>
      <w:r>
        <w:t>Verify identity</w:t>
      </w:r>
    </w:p>
    <w:p>
      <w:pPr>
        <w:pStyle w:val="ListBullet"/>
      </w:pPr>
      <w:r>
        <w:t>Collect documents</w:t>
      </w:r>
    </w:p>
    <w:p>
      <w:pPr>
        <w:pStyle w:val="ListBullet"/>
      </w:pPr>
      <w:r>
        <w:t>Approve account</w:t>
      </w:r>
    </w:p>
    <w:tbl>
      <w:tblPr>
        <w:tblStyle w:val="TableGrid"/>
        <w:tblW w:type="auto" w:w="0"/>
        <w:tblLook w:firstColumn="1" w:firstRow="1" w:lastColumn="0" w:lastRow="0" w:noHBand="0" w:noVBand="1" w:val="04A0"/>
      </w:tblPr>
      <w:tblGrid>
        <w:gridCol w:w="2880"/>
        <w:gridCol w:w="2880"/>
        <w:gridCol w:w="2880"/>
      </w:tblGrid>
      <w:tr>
        <w:tc>
          <w:tcPr>
            <w:tcW w:type="dxa" w:w="2880"/>
          </w:tcPr>
          <w:p>
            <w:r>
              <w:t>R1C1</w:t>
            </w:r>
          </w:p>
        </w:tc>
        <w:tc>
          <w:tcPr>
            <w:tcW w:type="dxa" w:w="2880"/>
          </w:tcPr>
          <w:p>
            <w:r>
              <w:t>R1C2</w:t>
            </w:r>
          </w:p>
        </w:tc>
        <w:tc>
          <w:tcPr>
            <w:tcW w:type="dxa" w:w="2880"/>
          </w:tcPr>
          <w:p>
            <w:r>
              <w:t>R1C3</w:t>
            </w:r>
          </w:p>
        </w:tc>
      </w:tr>
      <w:tr>
        <w:tc>
          <w:tcPr>
            <w:tcW w:type="dxa" w:w="2880"/>
          </w:tcPr>
          <w:p>
            <w:r>
              <w:t>R2C1</w:t>
            </w:r>
          </w:p>
        </w:tc>
        <w:tc>
          <w:tcPr>
            <w:tcW w:type="dxa" w:w="2880"/>
          </w:tcPr>
          <w:p>
            <w:r>
              <w:t>R2C2</w:t>
            </w:r>
          </w:p>
        </w:tc>
        <w:tc>
          <w:tcPr>
            <w:tcW w:type="dxa" w:w="2880"/>
          </w:tcPr>
          <w:p>
            <w:r>
              <w:t>R2C3</w:t>
            </w:r>
          </w:p>
        </w:tc>
      </w:tr>
      <w:tr>
        <w:tc>
          <w:tcPr>
            <w:tcW w:type="dxa" w:w="2880"/>
          </w:tcPr>
          <w:p>
            <w:r>
              <w:t>R3C1</w:t>
            </w:r>
          </w:p>
        </w:tc>
        <w:tc>
          <w:tcPr>
            <w:tcW w:type="dxa" w:w="2880"/>
          </w:tcPr>
          <w:p>
            <w:r>
              <w:t>R3C2</w:t>
            </w:r>
          </w:p>
        </w:tc>
        <w:tc>
          <w:tcPr>
            <w:tcW w:type="dxa" w:w="2880"/>
          </w:tcPr>
          <w:p>
            <w:r>
              <w:t>R3C3</w:t>
            </w:r>
          </w:p>
        </w:tc>
      </w:tr>
    </w:tbl>
    <w:p>
      <w:r>
        <w:br w:type="page"/>
      </w:r>
    </w:p>
    <w:p>
      <w:pPr>
        <w:pStyle w:val="Heading1"/>
      </w:pPr>
      <w:r>
        <w:t>Page two</w:t>
      </w:r>
    </w:p>
    <w:p>
      <w:r>
        <w:t xml:space="preserve">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Second page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