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1D1A" w:rsidRPr="004947FD" w:rsidRDefault="00000000" w:rsidP="004947FD">
      <w:pPr>
        <w:spacing w:before="24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47FD">
        <w:rPr>
          <w:rFonts w:ascii="Times New Roman" w:hAnsi="Times New Roman" w:cs="Times New Roman"/>
          <w:b/>
          <w:sz w:val="28"/>
          <w:szCs w:val="28"/>
        </w:rPr>
        <w:t>Project Design Phase-II</w:t>
      </w:r>
    </w:p>
    <w:p w:rsidR="00D51D1A" w:rsidRPr="004947FD" w:rsidRDefault="00000000" w:rsidP="004947FD">
      <w:pPr>
        <w:spacing w:before="24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47FD">
        <w:rPr>
          <w:rFonts w:ascii="Times New Roman" w:hAnsi="Times New Roman" w:cs="Times New Roman"/>
          <w:b/>
          <w:sz w:val="28"/>
          <w:szCs w:val="28"/>
        </w:rPr>
        <w:t>Solution Requirements (Functional &amp; Non-functional)</w:t>
      </w:r>
    </w:p>
    <w:p w:rsidR="00D51D1A" w:rsidRPr="004947FD" w:rsidRDefault="00D51D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Style10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7"/>
        <w:gridCol w:w="6599"/>
      </w:tblGrid>
      <w:tr w:rsidR="00D51D1A" w:rsidRPr="004947FD" w:rsidTr="004947FD">
        <w:trPr>
          <w:trHeight w:val="369"/>
          <w:jc w:val="center"/>
        </w:trPr>
        <w:tc>
          <w:tcPr>
            <w:tcW w:w="2327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599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27 June 2025</w:t>
            </w:r>
          </w:p>
        </w:tc>
      </w:tr>
      <w:tr w:rsidR="00D51D1A" w:rsidRPr="004947FD" w:rsidTr="004947FD">
        <w:trPr>
          <w:trHeight w:val="403"/>
          <w:jc w:val="center"/>
        </w:trPr>
        <w:tc>
          <w:tcPr>
            <w:tcW w:w="2327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599" w:type="dxa"/>
          </w:tcPr>
          <w:p w:rsidR="00D51D1A" w:rsidRPr="004947FD" w:rsidRDefault="004947FD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LTVIP2025TMID31788</w:t>
            </w:r>
          </w:p>
        </w:tc>
      </w:tr>
      <w:tr w:rsidR="00D51D1A" w:rsidRPr="004947FD" w:rsidTr="004947FD">
        <w:trPr>
          <w:trHeight w:val="706"/>
          <w:jc w:val="center"/>
        </w:trPr>
        <w:tc>
          <w:tcPr>
            <w:tcW w:w="2327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599" w:type="dxa"/>
          </w:tcPr>
          <w:p w:rsidR="00D51D1A" w:rsidRPr="004947FD" w:rsidRDefault="004947FD" w:rsidP="004947FD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CA42EF">
              <w:rPr>
                <w:rFonts w:ascii="Times New Roman" w:hAnsi="Times New Roman" w:cs="Times New Roman"/>
                <w:sz w:val="24"/>
                <w:szCs w:val="24"/>
              </w:rPr>
              <w:t>Smart SDLC: Sustainable Smart City Assistant Using IBM Granite LLM</w:t>
            </w:r>
          </w:p>
        </w:tc>
      </w:tr>
      <w:tr w:rsidR="00D51D1A" w:rsidRPr="004947FD" w:rsidTr="004947FD">
        <w:trPr>
          <w:trHeight w:val="463"/>
          <w:jc w:val="center"/>
        </w:trPr>
        <w:tc>
          <w:tcPr>
            <w:tcW w:w="2327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599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D51D1A" w:rsidRPr="004947FD" w:rsidRDefault="00000000" w:rsidP="004947FD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947FD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:rsidR="00D51D1A" w:rsidRPr="004947FD" w:rsidRDefault="00000000" w:rsidP="004947FD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47FD">
        <w:rPr>
          <w:rFonts w:ascii="Times New Roman" w:hAnsi="Times New Roman" w:cs="Times New Roman"/>
          <w:sz w:val="24"/>
          <w:szCs w:val="24"/>
        </w:rPr>
        <w:t xml:space="preserve">A Sustainable Smart City Assistant must be capable of understanding and responding to citizen queries through a conversational AI interface, enabling intuitive and inclusive interaction. It should forecast key performance indicators such as energy, water, and traffic usage using time-series models, while also detecting anomalies in environmental or utility data to support proactive decision-making. The assistant must summarize lengthy government policies into concise, accessible formats for public understanding. It should generate personalized eco-friendly tips based on user </w:t>
      </w:r>
      <w:proofErr w:type="spellStart"/>
      <w:r w:rsidRPr="004947F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947FD">
        <w:rPr>
          <w:rFonts w:ascii="Times New Roman" w:hAnsi="Times New Roman" w:cs="Times New Roman"/>
          <w:sz w:val="24"/>
          <w:szCs w:val="24"/>
        </w:rPr>
        <w:t xml:space="preserve"> or city data, and provide a feedback system for citizens to report issues or suggestions. Additionally, it must support the generation of downloadable sustainability reports and integrate with real-time data sources like IoT sensors and public APIs to ensure up-to-date insights and alerts. These capabilities together empower city administrators and residents to collaborate toward a greener, smarter urban future.</w:t>
      </w:r>
    </w:p>
    <w:tbl>
      <w:tblPr>
        <w:tblStyle w:val="Style11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3088"/>
        <w:gridCol w:w="4850"/>
      </w:tblGrid>
      <w:tr w:rsidR="00D51D1A" w:rsidRPr="004947FD" w:rsidTr="004947FD">
        <w:trPr>
          <w:trHeight w:val="746"/>
        </w:trPr>
        <w:tc>
          <w:tcPr>
            <w:tcW w:w="988" w:type="dxa"/>
          </w:tcPr>
          <w:p w:rsidR="00D51D1A" w:rsidRPr="004947FD" w:rsidRDefault="00000000" w:rsidP="004947F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088" w:type="dxa"/>
          </w:tcPr>
          <w:p w:rsidR="00D51D1A" w:rsidRPr="004947FD" w:rsidRDefault="00000000" w:rsidP="004947F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850" w:type="dxa"/>
          </w:tcPr>
          <w:p w:rsidR="00D51D1A" w:rsidRPr="004947FD" w:rsidRDefault="00000000" w:rsidP="004947F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:rsidR="00D51D1A" w:rsidRPr="004947FD" w:rsidTr="004947FD">
        <w:trPr>
          <w:trHeight w:val="926"/>
        </w:trPr>
        <w:tc>
          <w:tcPr>
            <w:tcW w:w="988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3088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4850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Registration through Form</w:t>
            </w:r>
          </w:p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Registration through Gmail</w:t>
            </w:r>
          </w:p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Registration through </w:t>
            </w:r>
            <w:r w:rsidR="004947FD" w:rsidRPr="004947FD">
              <w:rPr>
                <w:rFonts w:ascii="Times New Roman" w:hAnsi="Times New Roman" w:cs="Times New Roman"/>
                <w:sz w:val="24"/>
                <w:szCs w:val="24"/>
              </w:rPr>
              <w:t>LinkedIn</w:t>
            </w:r>
          </w:p>
        </w:tc>
      </w:tr>
      <w:tr w:rsidR="00D51D1A" w:rsidRPr="004947FD" w:rsidTr="004947FD">
        <w:trPr>
          <w:trHeight w:val="698"/>
        </w:trPr>
        <w:tc>
          <w:tcPr>
            <w:tcW w:w="988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3088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User Confirmation</w:t>
            </w:r>
          </w:p>
        </w:tc>
        <w:tc>
          <w:tcPr>
            <w:tcW w:w="4850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Confirmation via Email</w:t>
            </w:r>
          </w:p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Confirmation via OTP</w:t>
            </w:r>
          </w:p>
        </w:tc>
      </w:tr>
      <w:tr w:rsidR="00D51D1A" w:rsidRPr="004947FD" w:rsidTr="004947FD">
        <w:trPr>
          <w:trHeight w:val="470"/>
        </w:trPr>
        <w:tc>
          <w:tcPr>
            <w:tcW w:w="988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3088" w:type="dxa"/>
          </w:tcPr>
          <w:p w:rsidR="00D51D1A" w:rsidRPr="004947FD" w:rsidRDefault="00D51D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0" w:type="dxa"/>
          </w:tcPr>
          <w:p w:rsidR="00D51D1A" w:rsidRPr="004947FD" w:rsidRDefault="00D51D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7FD" w:rsidRPr="004947FD" w:rsidTr="004947FD">
        <w:trPr>
          <w:trHeight w:val="470"/>
        </w:trPr>
        <w:tc>
          <w:tcPr>
            <w:tcW w:w="988" w:type="dxa"/>
          </w:tcPr>
          <w:p w:rsidR="004947FD" w:rsidRPr="004947FD" w:rsidRDefault="004947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3088" w:type="dxa"/>
          </w:tcPr>
          <w:p w:rsidR="004947FD" w:rsidRPr="004947FD" w:rsidRDefault="004947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0" w:type="dxa"/>
          </w:tcPr>
          <w:p w:rsidR="004947FD" w:rsidRPr="004947FD" w:rsidRDefault="004947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947FD" w:rsidRDefault="004947FD" w:rsidP="004947FD">
      <w:pPr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:rsidR="00D51D1A" w:rsidRPr="004947FD" w:rsidRDefault="00000000" w:rsidP="004947FD">
      <w:p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4947FD">
        <w:rPr>
          <w:rFonts w:ascii="Times New Roman" w:hAnsi="Times New Roman" w:cs="Times New Roman"/>
          <w:b/>
          <w:sz w:val="24"/>
          <w:szCs w:val="24"/>
        </w:rPr>
        <w:t>Non-functional Requirements:</w:t>
      </w:r>
    </w:p>
    <w:p w:rsidR="00D51D1A" w:rsidRDefault="00000000" w:rsidP="004947FD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947FD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p w:rsidR="004947FD" w:rsidRPr="004947FD" w:rsidRDefault="004947FD" w:rsidP="004947FD">
      <w:pPr>
        <w:spacing w:before="240"/>
        <w:rPr>
          <w:rFonts w:ascii="Times New Roman" w:hAnsi="Times New Roman" w:cs="Times New Roman"/>
          <w:sz w:val="24"/>
          <w:szCs w:val="24"/>
        </w:rPr>
      </w:pPr>
    </w:p>
    <w:tbl>
      <w:tblPr>
        <w:tblStyle w:val="Style12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3402"/>
        <w:gridCol w:w="4934"/>
      </w:tblGrid>
      <w:tr w:rsidR="00D51D1A" w:rsidRPr="004947FD" w:rsidTr="00B94382">
        <w:trPr>
          <w:trHeight w:val="524"/>
        </w:trPr>
        <w:tc>
          <w:tcPr>
            <w:tcW w:w="988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402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4934" w:type="dxa"/>
          </w:tcPr>
          <w:p w:rsidR="00D51D1A" w:rsidRPr="004947F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D51D1A" w:rsidRPr="004947FD" w:rsidTr="00B94382">
        <w:trPr>
          <w:trHeight w:val="1267"/>
        </w:trPr>
        <w:tc>
          <w:tcPr>
            <w:tcW w:w="988" w:type="dxa"/>
          </w:tcPr>
          <w:p w:rsidR="00D51D1A" w:rsidRPr="004947FD" w:rsidRDefault="00000000" w:rsidP="00B9438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3402" w:type="dxa"/>
          </w:tcPr>
          <w:p w:rsidR="00D51D1A" w:rsidRPr="004947FD" w:rsidRDefault="00000000" w:rsidP="00B9438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bCs/>
                <w:sz w:val="24"/>
                <w:szCs w:val="24"/>
              </w:rPr>
              <w:t>Usability</w:t>
            </w:r>
          </w:p>
        </w:tc>
        <w:tc>
          <w:tcPr>
            <w:tcW w:w="4934" w:type="dxa"/>
          </w:tcPr>
          <w:p w:rsidR="00D51D1A" w:rsidRPr="004947FD" w:rsidRDefault="00000000" w:rsidP="00B94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Intuitive UI/UX (e.g., </w:t>
            </w:r>
            <w:proofErr w:type="spellStart"/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Gradio</w:t>
            </w:r>
            <w:proofErr w:type="spellEnd"/>
            <w:r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947FD" w:rsidRPr="004947FD">
              <w:rPr>
                <w:rFonts w:ascii="Times New Roman" w:hAnsi="Times New Roman" w:cs="Times New Roman"/>
                <w:sz w:val="24"/>
                <w:szCs w:val="24"/>
              </w:rPr>
              <w:t>interfaces)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947FD"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 Multilingual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 and accessible design (voice/text, screen </w:t>
            </w:r>
            <w:r w:rsidR="004947FD" w:rsidRPr="004947FD">
              <w:rPr>
                <w:rFonts w:ascii="Times New Roman" w:hAnsi="Times New Roman" w:cs="Times New Roman"/>
                <w:sz w:val="24"/>
                <w:szCs w:val="24"/>
              </w:rPr>
              <w:t>readers)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947FD"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 Simple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 onboarding and clear feedback mechanisms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1D1A" w:rsidRPr="004947FD" w:rsidTr="00B94382">
        <w:trPr>
          <w:trHeight w:val="1271"/>
        </w:trPr>
        <w:tc>
          <w:tcPr>
            <w:tcW w:w="988" w:type="dxa"/>
          </w:tcPr>
          <w:p w:rsidR="00D51D1A" w:rsidRPr="004947FD" w:rsidRDefault="00000000" w:rsidP="00B94382">
            <w:pPr>
              <w:spacing w:before="240"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3402" w:type="dxa"/>
          </w:tcPr>
          <w:p w:rsidR="00D51D1A" w:rsidRPr="004947FD" w:rsidRDefault="00000000" w:rsidP="00B9438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bCs/>
                <w:sz w:val="24"/>
                <w:szCs w:val="24"/>
              </w:rPr>
              <w:t>Security</w:t>
            </w:r>
          </w:p>
        </w:tc>
        <w:tc>
          <w:tcPr>
            <w:tcW w:w="4934" w:type="dxa"/>
          </w:tcPr>
          <w:p w:rsidR="00D51D1A" w:rsidRPr="004947FD" w:rsidRDefault="00000000" w:rsidP="00B94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End-to-end encryption (TLS/</w:t>
            </w:r>
            <w:r w:rsidR="004947FD" w:rsidRPr="004947FD">
              <w:rPr>
                <w:rFonts w:ascii="Times New Roman" w:hAnsi="Times New Roman" w:cs="Times New Roman"/>
                <w:sz w:val="24"/>
                <w:szCs w:val="24"/>
              </w:rPr>
              <w:t>SSL)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947FD"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 Role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-based access control (RBAC)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Compliance with GDPR, India’s Data Protection Bill, </w:t>
            </w:r>
            <w:r w:rsidR="004947FD" w:rsidRPr="004947FD">
              <w:rPr>
                <w:rFonts w:ascii="Times New Roman" w:hAnsi="Times New Roman" w:cs="Times New Roman"/>
                <w:sz w:val="24"/>
                <w:szCs w:val="24"/>
              </w:rPr>
              <w:t>etc. Secure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 APIs and audit logging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1D1A" w:rsidRPr="004947FD" w:rsidTr="00B94382">
        <w:trPr>
          <w:trHeight w:val="1007"/>
        </w:trPr>
        <w:tc>
          <w:tcPr>
            <w:tcW w:w="988" w:type="dxa"/>
          </w:tcPr>
          <w:p w:rsidR="00D51D1A" w:rsidRPr="004947FD" w:rsidRDefault="00000000" w:rsidP="00B9438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3402" w:type="dxa"/>
          </w:tcPr>
          <w:p w:rsidR="00D51D1A" w:rsidRPr="004947FD" w:rsidRDefault="00000000" w:rsidP="00B9438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bCs/>
                <w:sz w:val="24"/>
                <w:szCs w:val="24"/>
              </w:rPr>
              <w:t>Reliability</w:t>
            </w:r>
          </w:p>
        </w:tc>
        <w:tc>
          <w:tcPr>
            <w:tcW w:w="4934" w:type="dxa"/>
          </w:tcPr>
          <w:p w:rsidR="00D51D1A" w:rsidRPr="004947FD" w:rsidRDefault="00000000" w:rsidP="00B94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Fault-tolerant architecture with retry logic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Redundant data pipelines and backup systems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Continuous monitoring and alerting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1D1A" w:rsidRPr="004947FD" w:rsidTr="00B94382">
        <w:trPr>
          <w:trHeight w:val="1135"/>
        </w:trPr>
        <w:tc>
          <w:tcPr>
            <w:tcW w:w="988" w:type="dxa"/>
          </w:tcPr>
          <w:p w:rsidR="00D51D1A" w:rsidRPr="004947FD" w:rsidRDefault="00000000" w:rsidP="00B9438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3402" w:type="dxa"/>
          </w:tcPr>
          <w:p w:rsidR="00D51D1A" w:rsidRPr="004947FD" w:rsidRDefault="00000000" w:rsidP="00B9438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bCs/>
                <w:sz w:val="24"/>
                <w:szCs w:val="24"/>
              </w:rPr>
              <w:t>Performance</w:t>
            </w:r>
          </w:p>
        </w:tc>
        <w:tc>
          <w:tcPr>
            <w:tcW w:w="4934" w:type="dxa"/>
          </w:tcPr>
          <w:p w:rsidR="00D51D1A" w:rsidRPr="004947FD" w:rsidRDefault="00000000" w:rsidP="00B94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Optimized AI models (quantized/distilled for faster inference)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 Asynchronous processing for tasks like summarization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 Caching and CDN for static content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1D1A" w:rsidRPr="004947FD" w:rsidTr="00B94382">
        <w:trPr>
          <w:trHeight w:val="967"/>
        </w:trPr>
        <w:tc>
          <w:tcPr>
            <w:tcW w:w="988" w:type="dxa"/>
          </w:tcPr>
          <w:p w:rsidR="00D51D1A" w:rsidRPr="004947FD" w:rsidRDefault="00000000" w:rsidP="00B9438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3402" w:type="dxa"/>
          </w:tcPr>
          <w:p w:rsidR="00D51D1A" w:rsidRPr="004947FD" w:rsidRDefault="00000000" w:rsidP="00B9438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bCs/>
                <w:sz w:val="24"/>
                <w:szCs w:val="24"/>
              </w:rPr>
              <w:t>Availability</w:t>
            </w:r>
          </w:p>
        </w:tc>
        <w:tc>
          <w:tcPr>
            <w:tcW w:w="4934" w:type="dxa"/>
          </w:tcPr>
          <w:p w:rsidR="00D51D1A" w:rsidRPr="004947FD" w:rsidRDefault="00000000" w:rsidP="00B94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Multi-zone cloud deployment (AWS, Azure, GCP)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 Load balancers and fail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over clusters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Uptime monitoring and auto-scaling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51D1A" w:rsidRPr="004947FD" w:rsidTr="00B94382">
        <w:trPr>
          <w:trHeight w:val="1250"/>
        </w:trPr>
        <w:tc>
          <w:tcPr>
            <w:tcW w:w="988" w:type="dxa"/>
          </w:tcPr>
          <w:p w:rsidR="00D51D1A" w:rsidRPr="004947FD" w:rsidRDefault="00000000" w:rsidP="00B9438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3402" w:type="dxa"/>
          </w:tcPr>
          <w:p w:rsidR="00D51D1A" w:rsidRPr="004947FD" w:rsidRDefault="00000000" w:rsidP="00B94382">
            <w:pPr>
              <w:spacing w:before="240" w:line="240" w:lineRule="auto"/>
              <w:jc w:val="center"/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bCs/>
                <w:color w:val="222222"/>
                <w:sz w:val="24"/>
                <w:szCs w:val="24"/>
              </w:rPr>
              <w:t>Scalability</w:t>
            </w:r>
          </w:p>
        </w:tc>
        <w:tc>
          <w:tcPr>
            <w:tcW w:w="4934" w:type="dxa"/>
          </w:tcPr>
          <w:p w:rsidR="00D51D1A" w:rsidRPr="004947FD" w:rsidRDefault="00000000" w:rsidP="00B94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Microservices architecture (</w:t>
            </w:r>
            <w:proofErr w:type="spellStart"/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4947FD">
              <w:rPr>
                <w:rFonts w:ascii="Times New Roman" w:hAnsi="Times New Roman" w:cs="Times New Roman"/>
                <w:sz w:val="24"/>
                <w:szCs w:val="24"/>
              </w:rPr>
              <w:t>, Docker, Kubernetes)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 Horizontal scaling of compute and storage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947FD">
              <w:rPr>
                <w:rFonts w:ascii="Times New Roman" w:hAnsi="Times New Roman" w:cs="Times New Roman"/>
                <w:sz w:val="24"/>
                <w:szCs w:val="24"/>
              </w:rPr>
              <w:t xml:space="preserve"> Modular APIs for easy feature expansion</w:t>
            </w:r>
            <w:r w:rsidR="00B943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51D1A" w:rsidRPr="004947FD" w:rsidRDefault="00D51D1A">
      <w:pPr>
        <w:rPr>
          <w:rFonts w:ascii="Times New Roman" w:hAnsi="Times New Roman" w:cs="Times New Roman"/>
          <w:sz w:val="24"/>
          <w:szCs w:val="24"/>
        </w:rPr>
      </w:pPr>
    </w:p>
    <w:sectPr w:rsidR="00D51D1A" w:rsidRPr="004947F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028F" w:rsidRDefault="00A8028F">
      <w:pPr>
        <w:spacing w:line="240" w:lineRule="auto"/>
      </w:pPr>
      <w:r>
        <w:separator/>
      </w:r>
    </w:p>
  </w:endnote>
  <w:endnote w:type="continuationSeparator" w:id="0">
    <w:p w:rsidR="00A8028F" w:rsidRDefault="00A802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028F" w:rsidRDefault="00A8028F">
      <w:pPr>
        <w:spacing w:after="0"/>
      </w:pPr>
      <w:r>
        <w:separator/>
      </w:r>
    </w:p>
  </w:footnote>
  <w:footnote w:type="continuationSeparator" w:id="0">
    <w:p w:rsidR="00A8028F" w:rsidRDefault="00A8028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D1A"/>
    <w:rsid w:val="004947FD"/>
    <w:rsid w:val="009D1AA9"/>
    <w:rsid w:val="00A8028F"/>
    <w:rsid w:val="00B94382"/>
    <w:rsid w:val="00D51D1A"/>
    <w:rsid w:val="0336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CB47"/>
  <w15:docId w15:val="{B77CA37A-9600-4554-B51F-86B304D90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23481</dc:creator>
  <cp:lastModifiedBy>Venu Oohitha Kurakula</cp:lastModifiedBy>
  <cp:revision>2</cp:revision>
  <dcterms:created xsi:type="dcterms:W3CDTF">2025-06-27T10:03:00Z</dcterms:created>
  <dcterms:modified xsi:type="dcterms:W3CDTF">2025-08-13T07:17:00Z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D8A51D42AFCC4FED8964DFF0B5684731_12</vt:lpwstr>
  </property>
</Properties>
</file>