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90B0F" w14:textId="775C323F" w:rsidR="00C9115F" w:rsidRPr="00C9115F" w:rsidRDefault="00C9115F" w:rsidP="00C9115F">
      <w:pPr>
        <w:rPr>
          <w:b/>
          <w:bCs/>
          <w:color w:val="0A2F41" w:themeColor="accent1" w:themeShade="80"/>
          <w:sz w:val="32"/>
          <w:szCs w:val="32"/>
        </w:rPr>
      </w:pPr>
      <w:r w:rsidRPr="00C9115F">
        <w:rPr>
          <w:b/>
          <w:bCs/>
          <w:color w:val="0A2F41" w:themeColor="accent1" w:themeShade="80"/>
          <w:sz w:val="32"/>
          <w:szCs w:val="32"/>
        </w:rPr>
        <w:t xml:space="preserve">Section 4 — Goal &amp; </w:t>
      </w:r>
      <w:r w:rsidRPr="00C9115F">
        <w:rPr>
          <w:b/>
          <w:bCs/>
          <w:color w:val="0A2F41" w:themeColor="accent1" w:themeShade="80"/>
          <w:sz w:val="32"/>
          <w:szCs w:val="32"/>
        </w:rPr>
        <w:t>visualization</w:t>
      </w:r>
      <w:r w:rsidRPr="00C9115F">
        <w:rPr>
          <w:b/>
          <w:bCs/>
          <w:color w:val="0A2F41" w:themeColor="accent1" w:themeShade="80"/>
          <w:sz w:val="32"/>
          <w:szCs w:val="32"/>
        </w:rPr>
        <w:t xml:space="preserve"> Analysis</w:t>
      </w:r>
    </w:p>
    <w:p w14:paraId="65FA1DC2" w14:textId="77777777" w:rsidR="00C9115F" w:rsidRPr="00C9115F" w:rsidRDefault="00C9115F" w:rsidP="00C9115F">
      <w:pPr>
        <w:rPr>
          <w:b/>
          <w:bCs/>
          <w:color w:val="0F4761" w:themeColor="accent1" w:themeShade="BF"/>
        </w:rPr>
      </w:pPr>
      <w:r w:rsidRPr="00C9115F">
        <w:rPr>
          <w:b/>
          <w:bCs/>
          <w:color w:val="0F4761" w:themeColor="accent1" w:themeShade="BF"/>
        </w:rPr>
        <w:t>4.1 Overview</w:t>
      </w:r>
    </w:p>
    <w:p w14:paraId="4754771D" w14:textId="5C25604B" w:rsidR="00C9115F" w:rsidRPr="00C9115F" w:rsidRDefault="00C9115F" w:rsidP="00C9115F">
      <w:proofErr w:type="spellStart"/>
      <w:r w:rsidRPr="00C9115F">
        <w:t>Kavindu's</w:t>
      </w:r>
      <w:proofErr w:type="spellEnd"/>
      <w:r w:rsidRPr="00C9115F">
        <w:t xml:space="preserve"> MacBook goal is not abstract</w:t>
      </w:r>
      <w:r>
        <w:t>,</w:t>
      </w:r>
      <w:r w:rsidRPr="00C9115F">
        <w:t xml:space="preserve"> it is quantified (LKR 490,000), time-bound (12 months), and personally meaningful (a genuine professional need, not a luxury). Yet no tool has ever connected his daily financial </w:t>
      </w:r>
      <w:r w:rsidRPr="00C9115F">
        <w:t>behavior</w:t>
      </w:r>
      <w:r w:rsidRPr="00C9115F">
        <w:t xml:space="preserve"> to this goal. He does not know what monthly savings rate is required. He does not know if he is on track. The goal exists in his mind but nowhere in his financial system. </w:t>
      </w:r>
      <w:proofErr w:type="spellStart"/>
      <w:r w:rsidRPr="00C9115F">
        <w:t>FinPilot</w:t>
      </w:r>
      <w:proofErr w:type="spellEnd"/>
      <w:r w:rsidRPr="00C9115F">
        <w:t xml:space="preserve"> must make it real, visible, and motivating without being gimmicky.</w:t>
      </w:r>
    </w:p>
    <w:p w14:paraId="0E6A72FF" w14:textId="77777777" w:rsidR="00C9115F" w:rsidRPr="00C9115F" w:rsidRDefault="00C9115F" w:rsidP="00C9115F">
      <w:pPr>
        <w:rPr>
          <w:b/>
          <w:bCs/>
          <w:color w:val="0F4761" w:themeColor="accent1" w:themeShade="BF"/>
        </w:rPr>
      </w:pPr>
      <w:r w:rsidRPr="00C9115F">
        <w:rPr>
          <w:b/>
          <w:bCs/>
          <w:color w:val="0F4761" w:themeColor="accent1" w:themeShade="BF"/>
        </w:rPr>
        <w:t>4.2 What Makes Goal Progress Feel Real</w:t>
      </w:r>
    </w:p>
    <w:p w14:paraId="24CA63D9" w14:textId="4FEED849" w:rsidR="00C9115F" w:rsidRPr="00C9115F" w:rsidRDefault="00C9115F" w:rsidP="00C9115F">
      <w:proofErr w:type="spellStart"/>
      <w:r w:rsidRPr="00C9115F">
        <w:t>Kavindu's</w:t>
      </w:r>
      <w:proofErr w:type="spellEnd"/>
      <w:r w:rsidRPr="00C9115F">
        <w:t xml:space="preserve"> previous tools failed to motivate sustained </w:t>
      </w:r>
      <w:r>
        <w:t>behavior</w:t>
      </w:r>
      <w:r w:rsidRPr="00C9115F">
        <w:t xml:space="preserve"> because they showed numbers without consequences. The gap between 'I spent LKR 2,000 on </w:t>
      </w:r>
      <w:proofErr w:type="spellStart"/>
      <w:r w:rsidRPr="00C9115F">
        <w:t>UberEats</w:t>
      </w:r>
      <w:proofErr w:type="spellEnd"/>
      <w:r w:rsidRPr="00C9115F">
        <w:t xml:space="preserve">' and 'I am further from my MacBook' was never closed. </w:t>
      </w:r>
      <w:proofErr w:type="spellStart"/>
      <w:r w:rsidRPr="00C9115F">
        <w:t>FinPilot</w:t>
      </w:r>
      <w:proofErr w:type="spellEnd"/>
      <w:r w:rsidRPr="00C9115F">
        <w:t xml:space="preserve"> must close that gap through three design mechanisms:</w:t>
      </w:r>
    </w:p>
    <w:p w14:paraId="0365530D" w14:textId="77777777" w:rsidR="00C9115F" w:rsidRPr="00C9115F" w:rsidRDefault="00C9115F" w:rsidP="00C9115F">
      <w:pPr>
        <w:rPr>
          <w:b/>
          <w:bCs/>
          <w:color w:val="215E99" w:themeColor="text2" w:themeTint="BF"/>
          <w:sz w:val="22"/>
          <w:szCs w:val="22"/>
        </w:rPr>
      </w:pPr>
      <w:r w:rsidRPr="00C9115F">
        <w:rPr>
          <w:b/>
          <w:bCs/>
          <w:color w:val="215E99" w:themeColor="text2" w:themeTint="BF"/>
          <w:sz w:val="22"/>
          <w:szCs w:val="22"/>
        </w:rPr>
        <w:t>4.2.1 Computed Monthly Savings Requirement</w:t>
      </w:r>
    </w:p>
    <w:p w14:paraId="612FDDAE" w14:textId="3207E6C3" w:rsidR="00C9115F" w:rsidRPr="00C9115F" w:rsidRDefault="00C9115F" w:rsidP="00C9115F">
      <w:r w:rsidRPr="00C9115F">
        <w:t xml:space="preserve">On the Goal screen, </w:t>
      </w:r>
      <w:proofErr w:type="spellStart"/>
      <w:r w:rsidRPr="00C9115F">
        <w:t>FinPilot</w:t>
      </w:r>
      <w:proofErr w:type="spellEnd"/>
      <w:r w:rsidRPr="00C9115F">
        <w:t xml:space="preserve"> must compute and </w:t>
      </w:r>
      <w:proofErr w:type="gramStart"/>
      <w:r w:rsidRPr="00C9115F">
        <w:t>display:</w:t>
      </w:r>
      <w:proofErr w:type="gramEnd"/>
      <w:r w:rsidRPr="00C9115F">
        <w:t xml:space="preserve"> given your target (LKR 490,000), your current savings (LKR X), and your deadline (Y months away), you need to save LKR Z per month. This figure must </w:t>
      </w:r>
      <w:proofErr w:type="gramStart"/>
      <w:r w:rsidRPr="00C9115F">
        <w:t>update</w:t>
      </w:r>
      <w:proofErr w:type="gramEnd"/>
      <w:r w:rsidRPr="00C9115F">
        <w:t xml:space="preserve"> in real time as income and expenses are recorded. Seeing the required rate drop when he saves more or rise when he overspends creates a direct feedback loop.</w:t>
      </w:r>
    </w:p>
    <w:p w14:paraId="045852C0" w14:textId="0A89D611" w:rsidR="00C9115F" w:rsidRPr="00C9115F" w:rsidRDefault="00C9115F" w:rsidP="00C9115F">
      <w:pPr>
        <w:rPr>
          <w:b/>
          <w:bCs/>
          <w:color w:val="215E99" w:themeColor="text2" w:themeTint="BF"/>
        </w:rPr>
      </w:pPr>
      <w:r w:rsidRPr="00C9115F">
        <w:rPr>
          <w:b/>
          <w:bCs/>
          <w:color w:val="215E99" w:themeColor="text2" w:themeTint="BF"/>
        </w:rPr>
        <w:t xml:space="preserve">4.2.2 Progress </w:t>
      </w:r>
      <w:r w:rsidRPr="00C9115F">
        <w:rPr>
          <w:b/>
          <w:bCs/>
          <w:color w:val="215E99" w:themeColor="text2" w:themeTint="BF"/>
        </w:rPr>
        <w:t>visualization</w:t>
      </w:r>
    </w:p>
    <w:p w14:paraId="4B6B50DD" w14:textId="77777777" w:rsidR="00C9115F" w:rsidRPr="00C9115F" w:rsidRDefault="00C9115F" w:rsidP="00C9115F">
      <w:r w:rsidRPr="00C9115F">
        <w:t xml:space="preserve">A simple linear progress bar showing percentage toward goal is insufficient. </w:t>
      </w:r>
      <w:proofErr w:type="spellStart"/>
      <w:r w:rsidRPr="00C9115F">
        <w:t>FinPilot</w:t>
      </w:r>
      <w:proofErr w:type="spellEnd"/>
      <w:r w:rsidRPr="00C9115F">
        <w:t xml:space="preserve"> should display:</w:t>
      </w:r>
    </w:p>
    <w:p w14:paraId="6F0A0234" w14:textId="77777777" w:rsidR="00C9115F" w:rsidRPr="00C9115F" w:rsidRDefault="00C9115F" w:rsidP="00C9115F">
      <w:pPr>
        <w:numPr>
          <w:ilvl w:val="0"/>
          <w:numId w:val="1"/>
        </w:numPr>
      </w:pPr>
      <w:r w:rsidRPr="00C9115F">
        <w:t>Amount saved so far vs total target — numerical and visual</w:t>
      </w:r>
    </w:p>
    <w:p w14:paraId="6E036F83" w14:textId="77777777" w:rsidR="00C9115F" w:rsidRPr="00C9115F" w:rsidRDefault="00C9115F" w:rsidP="00C9115F">
      <w:pPr>
        <w:numPr>
          <w:ilvl w:val="0"/>
          <w:numId w:val="1"/>
        </w:numPr>
      </w:pPr>
      <w:r w:rsidRPr="00C9115F">
        <w:t>Projected completion date at current savings rate — dynamically computed</w:t>
      </w:r>
    </w:p>
    <w:p w14:paraId="14D9E0B7" w14:textId="77777777" w:rsidR="00C9115F" w:rsidRPr="00C9115F" w:rsidRDefault="00C9115F" w:rsidP="00C9115F">
      <w:pPr>
        <w:numPr>
          <w:ilvl w:val="0"/>
          <w:numId w:val="1"/>
        </w:numPr>
      </w:pPr>
      <w:r w:rsidRPr="00C9115F">
        <w:t>Monthly savings trend — is the gap closing or widening?</w:t>
      </w:r>
    </w:p>
    <w:p w14:paraId="058E8428" w14:textId="77777777" w:rsidR="00C9115F" w:rsidRPr="00C9115F" w:rsidRDefault="00C9115F" w:rsidP="00C9115F">
      <w:pPr>
        <w:numPr>
          <w:ilvl w:val="0"/>
          <w:numId w:val="1"/>
        </w:numPr>
      </w:pPr>
      <w:r w:rsidRPr="00C9115F">
        <w:t>On-track / at-risk / off-track status indicator — clear, non-punitive</w:t>
      </w:r>
    </w:p>
    <w:p w14:paraId="4770A46F" w14:textId="77777777" w:rsidR="00C9115F" w:rsidRPr="00C9115F" w:rsidRDefault="00C9115F" w:rsidP="00C9115F">
      <w:pPr>
        <w:rPr>
          <w:b/>
          <w:bCs/>
          <w:color w:val="215E99" w:themeColor="text2" w:themeTint="BF"/>
        </w:rPr>
      </w:pPr>
      <w:r w:rsidRPr="00C9115F">
        <w:rPr>
          <w:b/>
          <w:bCs/>
          <w:color w:val="215E99" w:themeColor="text2" w:themeTint="BF"/>
        </w:rPr>
        <w:t>4.2.3 Spend-to-Goal Connection</w:t>
      </w:r>
    </w:p>
    <w:p w14:paraId="47610F1D" w14:textId="72B2B746" w:rsidR="00C9115F" w:rsidRPr="00C9115F" w:rsidRDefault="00C9115F" w:rsidP="00C9115F">
      <w:r w:rsidRPr="00C9115F">
        <w:t xml:space="preserve">When </w:t>
      </w:r>
      <w:proofErr w:type="spellStart"/>
      <w:r w:rsidRPr="00C9115F">
        <w:t>Kavindu</w:t>
      </w:r>
      <w:proofErr w:type="spellEnd"/>
      <w:r w:rsidRPr="00C9115F">
        <w:t xml:space="preserve"> confirms an expense entry, </w:t>
      </w:r>
      <w:proofErr w:type="spellStart"/>
      <w:r w:rsidRPr="00C9115F">
        <w:t>FinPilot</w:t>
      </w:r>
      <w:proofErr w:type="spellEnd"/>
      <w:r w:rsidRPr="00C9115F">
        <w:t xml:space="preserve"> should optionally show a micro-consequence: 'At your current savings rate, this expense pushes your MacBook date back by approximately X days.' This is not a guilt </w:t>
      </w:r>
      <w:proofErr w:type="gramStart"/>
      <w:r w:rsidRPr="00C9115F">
        <w:t>mechanism</w:t>
      </w:r>
      <w:r>
        <w:t>,</w:t>
      </w:r>
      <w:proofErr w:type="gramEnd"/>
      <w:r w:rsidRPr="00C9115F">
        <w:t xml:space="preserve"> it is a transparency mechanism. </w:t>
      </w:r>
      <w:proofErr w:type="spellStart"/>
      <w:r w:rsidRPr="00C9115F">
        <w:lastRenderedPageBreak/>
        <w:t>Kavindu</w:t>
      </w:r>
      <w:proofErr w:type="spellEnd"/>
      <w:r w:rsidRPr="00C9115F">
        <w:t xml:space="preserve"> can choose to spend; the system simply makes the trade-off visible. This is the insight he has never had access to.</w:t>
      </w:r>
    </w:p>
    <w:p w14:paraId="718DAEBD" w14:textId="4B6CF0FF" w:rsidR="00C9115F" w:rsidRPr="00C9115F" w:rsidRDefault="00C9115F" w:rsidP="00C9115F">
      <w:pPr>
        <w:rPr>
          <w:b/>
          <w:bCs/>
          <w:color w:val="0F4761" w:themeColor="accent1" w:themeShade="BF"/>
        </w:rPr>
      </w:pPr>
      <w:r w:rsidRPr="00C9115F">
        <w:rPr>
          <w:b/>
          <w:bCs/>
          <w:color w:val="0F4761" w:themeColor="accent1" w:themeShade="BF"/>
        </w:rPr>
        <w:t xml:space="preserve">4.3 Minimum </w:t>
      </w:r>
      <w:r>
        <w:rPr>
          <w:b/>
          <w:bCs/>
          <w:color w:val="0F4761" w:themeColor="accent1" w:themeShade="BF"/>
        </w:rPr>
        <w:t>Visualization</w:t>
      </w:r>
      <w:r w:rsidRPr="00C9115F">
        <w:rPr>
          <w:b/>
          <w:bCs/>
          <w:color w:val="0F4761" w:themeColor="accent1" w:themeShade="BF"/>
        </w:rPr>
        <w:t xml:space="preserve"> Set for First-Week Clarity</w:t>
      </w:r>
    </w:p>
    <w:p w14:paraId="63757561" w14:textId="55B3037A" w:rsidR="00C9115F" w:rsidRPr="00C9115F" w:rsidRDefault="00C9115F" w:rsidP="00C9115F">
      <w:r w:rsidRPr="00C9115F">
        <w:t xml:space="preserve">Based on </w:t>
      </w:r>
      <w:proofErr w:type="spellStart"/>
      <w:r w:rsidRPr="00C9115F">
        <w:t>Kavindu's</w:t>
      </w:r>
      <w:proofErr w:type="spellEnd"/>
      <w:r w:rsidRPr="00C9115F">
        <w:t xml:space="preserve"> scenario, the following five </w:t>
      </w:r>
      <w:r>
        <w:t>visualization</w:t>
      </w:r>
      <w:r w:rsidRPr="00C9115F">
        <w:t xml:space="preserve">s would give him meaningful financial self-awareness within his first week of using </w:t>
      </w:r>
      <w:proofErr w:type="spellStart"/>
      <w:r w:rsidRPr="00C9115F">
        <w:t>FinPilot</w:t>
      </w:r>
      <w:proofErr w:type="spellEnd"/>
      <w:r w:rsidRPr="00C9115F">
        <w:t>:</w:t>
      </w:r>
    </w:p>
    <w:p w14:paraId="2C24F9A8" w14:textId="77777777" w:rsidR="00C9115F" w:rsidRPr="00C9115F" w:rsidRDefault="00C9115F" w:rsidP="00C9115F"/>
    <w:tbl>
      <w:tblPr>
        <w:tblStyle w:val="TableGrid"/>
        <w:tblW w:w="8026" w:type="dxa"/>
        <w:tblLook w:val="04A0" w:firstRow="1" w:lastRow="0" w:firstColumn="1" w:lastColumn="0" w:noHBand="0" w:noVBand="1"/>
      </w:tblPr>
      <w:tblGrid>
        <w:gridCol w:w="400"/>
        <w:gridCol w:w="2200"/>
        <w:gridCol w:w="3600"/>
        <w:gridCol w:w="1826"/>
      </w:tblGrid>
      <w:tr w:rsidR="00C9115F" w:rsidRPr="00C9115F" w14:paraId="5FA51093" w14:textId="77777777" w:rsidTr="00C9115F">
        <w:tc>
          <w:tcPr>
            <w:tcW w:w="400" w:type="dxa"/>
            <w:hideMark/>
          </w:tcPr>
          <w:p w14:paraId="218A7FB2" w14:textId="77777777" w:rsidR="00C9115F" w:rsidRPr="00C9115F" w:rsidRDefault="00C9115F" w:rsidP="00C9115F">
            <w:pPr>
              <w:spacing w:after="160" w:line="278" w:lineRule="auto"/>
            </w:pPr>
            <w:r w:rsidRPr="00C9115F">
              <w:rPr>
                <w:b/>
                <w:bCs/>
              </w:rPr>
              <w:t>#</w:t>
            </w:r>
          </w:p>
        </w:tc>
        <w:tc>
          <w:tcPr>
            <w:tcW w:w="2200" w:type="dxa"/>
            <w:hideMark/>
          </w:tcPr>
          <w:p w14:paraId="59518516" w14:textId="47F50C49" w:rsidR="00C9115F" w:rsidRPr="00C9115F" w:rsidRDefault="00C9115F" w:rsidP="00C9115F">
            <w:pPr>
              <w:spacing w:after="160" w:line="278" w:lineRule="auto"/>
            </w:pPr>
            <w:r>
              <w:rPr>
                <w:b/>
                <w:bCs/>
              </w:rPr>
              <w:t>Visualization</w:t>
            </w:r>
          </w:p>
        </w:tc>
        <w:tc>
          <w:tcPr>
            <w:tcW w:w="3600" w:type="dxa"/>
            <w:hideMark/>
          </w:tcPr>
          <w:p w14:paraId="276B8A64" w14:textId="77777777" w:rsidR="00C9115F" w:rsidRPr="00C9115F" w:rsidRDefault="00C9115F" w:rsidP="00C9115F">
            <w:pPr>
              <w:spacing w:after="160" w:line="278" w:lineRule="auto"/>
            </w:pPr>
            <w:r w:rsidRPr="00C9115F">
              <w:rPr>
                <w:b/>
                <w:bCs/>
              </w:rPr>
              <w:t>What It Reveals</w:t>
            </w:r>
          </w:p>
        </w:tc>
        <w:tc>
          <w:tcPr>
            <w:tcW w:w="1826" w:type="dxa"/>
            <w:hideMark/>
          </w:tcPr>
          <w:p w14:paraId="63A8D94B" w14:textId="77777777" w:rsidR="00C9115F" w:rsidRPr="00C9115F" w:rsidRDefault="00C9115F" w:rsidP="00C9115F">
            <w:pPr>
              <w:spacing w:after="160" w:line="278" w:lineRule="auto"/>
            </w:pPr>
            <w:r w:rsidRPr="00C9115F">
              <w:rPr>
                <w:b/>
                <w:bCs/>
              </w:rPr>
              <w:t>Screen</w:t>
            </w:r>
          </w:p>
        </w:tc>
      </w:tr>
      <w:tr w:rsidR="00C9115F" w:rsidRPr="00C9115F" w14:paraId="4DE7F4F5" w14:textId="77777777" w:rsidTr="00C9115F">
        <w:tc>
          <w:tcPr>
            <w:tcW w:w="400" w:type="dxa"/>
            <w:hideMark/>
          </w:tcPr>
          <w:p w14:paraId="5A79BAAE" w14:textId="77777777" w:rsidR="00C9115F" w:rsidRPr="00C9115F" w:rsidRDefault="00C9115F" w:rsidP="00C9115F">
            <w:pPr>
              <w:spacing w:after="160" w:line="278" w:lineRule="auto"/>
            </w:pPr>
            <w:r w:rsidRPr="00C9115F">
              <w:t>1</w:t>
            </w:r>
          </w:p>
        </w:tc>
        <w:tc>
          <w:tcPr>
            <w:tcW w:w="2200" w:type="dxa"/>
            <w:hideMark/>
          </w:tcPr>
          <w:p w14:paraId="0AFB98E7" w14:textId="77777777" w:rsidR="00C9115F" w:rsidRPr="00C9115F" w:rsidRDefault="00C9115F" w:rsidP="00C9115F">
            <w:pPr>
              <w:spacing w:after="160" w:line="278" w:lineRule="auto"/>
            </w:pPr>
            <w:r w:rsidRPr="00C9115F">
              <w:t>Spending Category Donut Chart</w:t>
            </w:r>
          </w:p>
        </w:tc>
        <w:tc>
          <w:tcPr>
            <w:tcW w:w="3600" w:type="dxa"/>
            <w:hideMark/>
          </w:tcPr>
          <w:p w14:paraId="71259AC6" w14:textId="77777777" w:rsidR="00C9115F" w:rsidRPr="00C9115F" w:rsidRDefault="00C9115F" w:rsidP="00C9115F">
            <w:pPr>
              <w:spacing w:after="160" w:line="278" w:lineRule="auto"/>
            </w:pPr>
            <w:r w:rsidRPr="00C9115F">
              <w:t>How income is distributed across categories — the view that would have shown him the LKR 24,000 coffee discovery immediately</w:t>
            </w:r>
          </w:p>
        </w:tc>
        <w:tc>
          <w:tcPr>
            <w:tcW w:w="1826" w:type="dxa"/>
            <w:hideMark/>
          </w:tcPr>
          <w:p w14:paraId="4AAF9B5C" w14:textId="77777777" w:rsidR="00C9115F" w:rsidRPr="00C9115F" w:rsidRDefault="00C9115F" w:rsidP="00C9115F">
            <w:pPr>
              <w:spacing w:after="160" w:line="278" w:lineRule="auto"/>
            </w:pPr>
            <w:r w:rsidRPr="00C9115F">
              <w:t>Dashboard</w:t>
            </w:r>
          </w:p>
        </w:tc>
      </w:tr>
      <w:tr w:rsidR="00C9115F" w:rsidRPr="00C9115F" w14:paraId="2DEBD9AA" w14:textId="77777777" w:rsidTr="00C9115F">
        <w:tc>
          <w:tcPr>
            <w:tcW w:w="400" w:type="dxa"/>
            <w:hideMark/>
          </w:tcPr>
          <w:p w14:paraId="56AD415B" w14:textId="77777777" w:rsidR="00C9115F" w:rsidRPr="00C9115F" w:rsidRDefault="00C9115F" w:rsidP="00C9115F">
            <w:pPr>
              <w:spacing w:after="160" w:line="278" w:lineRule="auto"/>
            </w:pPr>
            <w:r w:rsidRPr="00C9115F">
              <w:t>2</w:t>
            </w:r>
          </w:p>
        </w:tc>
        <w:tc>
          <w:tcPr>
            <w:tcW w:w="2200" w:type="dxa"/>
            <w:hideMark/>
          </w:tcPr>
          <w:p w14:paraId="4FB11E8B" w14:textId="77777777" w:rsidR="00C9115F" w:rsidRPr="00C9115F" w:rsidRDefault="00C9115F" w:rsidP="00C9115F">
            <w:pPr>
              <w:spacing w:after="160" w:line="278" w:lineRule="auto"/>
            </w:pPr>
            <w:r w:rsidRPr="00C9115F">
              <w:t>Income Source Breakdown Bar</w:t>
            </w:r>
          </w:p>
        </w:tc>
        <w:tc>
          <w:tcPr>
            <w:tcW w:w="3600" w:type="dxa"/>
            <w:hideMark/>
          </w:tcPr>
          <w:p w14:paraId="58ED9635" w14:textId="77777777" w:rsidR="00C9115F" w:rsidRPr="00C9115F" w:rsidRDefault="00C9115F" w:rsidP="00C9115F">
            <w:pPr>
              <w:spacing w:after="160" w:line="278" w:lineRule="auto"/>
            </w:pPr>
            <w:r w:rsidRPr="00C9115F">
              <w:t>What proportion of income comes from each source — makes irregular income visible and comparable month to month</w:t>
            </w:r>
          </w:p>
        </w:tc>
        <w:tc>
          <w:tcPr>
            <w:tcW w:w="1826" w:type="dxa"/>
            <w:hideMark/>
          </w:tcPr>
          <w:p w14:paraId="2DA855AF" w14:textId="77777777" w:rsidR="00C9115F" w:rsidRPr="00C9115F" w:rsidRDefault="00C9115F" w:rsidP="00C9115F">
            <w:pPr>
              <w:spacing w:after="160" w:line="278" w:lineRule="auto"/>
            </w:pPr>
            <w:r w:rsidRPr="00C9115F">
              <w:t>Dashboard</w:t>
            </w:r>
          </w:p>
        </w:tc>
      </w:tr>
      <w:tr w:rsidR="00C9115F" w:rsidRPr="00C9115F" w14:paraId="3BBBC58A" w14:textId="77777777" w:rsidTr="00C9115F">
        <w:tc>
          <w:tcPr>
            <w:tcW w:w="400" w:type="dxa"/>
            <w:hideMark/>
          </w:tcPr>
          <w:p w14:paraId="4C0A2659" w14:textId="77777777" w:rsidR="00C9115F" w:rsidRPr="00C9115F" w:rsidRDefault="00C9115F" w:rsidP="00C9115F">
            <w:pPr>
              <w:spacing w:after="160" w:line="278" w:lineRule="auto"/>
            </w:pPr>
            <w:r w:rsidRPr="00C9115F">
              <w:t>3</w:t>
            </w:r>
          </w:p>
        </w:tc>
        <w:tc>
          <w:tcPr>
            <w:tcW w:w="2200" w:type="dxa"/>
            <w:hideMark/>
          </w:tcPr>
          <w:p w14:paraId="3C6E0B22" w14:textId="77777777" w:rsidR="00C9115F" w:rsidRPr="00C9115F" w:rsidRDefault="00C9115F" w:rsidP="00C9115F">
            <w:pPr>
              <w:spacing w:after="160" w:line="278" w:lineRule="auto"/>
            </w:pPr>
            <w:r w:rsidRPr="00C9115F">
              <w:t>Goal Progress Card</w:t>
            </w:r>
          </w:p>
        </w:tc>
        <w:tc>
          <w:tcPr>
            <w:tcW w:w="3600" w:type="dxa"/>
            <w:hideMark/>
          </w:tcPr>
          <w:p w14:paraId="64ADF948" w14:textId="77777777" w:rsidR="00C9115F" w:rsidRPr="00C9115F" w:rsidRDefault="00C9115F" w:rsidP="00C9115F">
            <w:pPr>
              <w:spacing w:after="160" w:line="278" w:lineRule="auto"/>
            </w:pPr>
            <w:r w:rsidRPr="00C9115F">
              <w:t>How far he is from LKR 490,000 and what monthly rate is required — transforms the goal from abstract to actionable</w:t>
            </w:r>
          </w:p>
        </w:tc>
        <w:tc>
          <w:tcPr>
            <w:tcW w:w="1826" w:type="dxa"/>
            <w:hideMark/>
          </w:tcPr>
          <w:p w14:paraId="01412882" w14:textId="77777777" w:rsidR="00C9115F" w:rsidRPr="00C9115F" w:rsidRDefault="00C9115F" w:rsidP="00C9115F">
            <w:pPr>
              <w:spacing w:after="160" w:line="278" w:lineRule="auto"/>
            </w:pPr>
            <w:r w:rsidRPr="00C9115F">
              <w:t>Dashboard + Goal Screen</w:t>
            </w:r>
          </w:p>
        </w:tc>
      </w:tr>
      <w:tr w:rsidR="00C9115F" w:rsidRPr="00C9115F" w14:paraId="5E5ED803" w14:textId="77777777" w:rsidTr="00C9115F">
        <w:tc>
          <w:tcPr>
            <w:tcW w:w="400" w:type="dxa"/>
            <w:hideMark/>
          </w:tcPr>
          <w:p w14:paraId="2D960F75" w14:textId="77777777" w:rsidR="00C9115F" w:rsidRPr="00C9115F" w:rsidRDefault="00C9115F" w:rsidP="00C9115F">
            <w:pPr>
              <w:spacing w:after="160" w:line="278" w:lineRule="auto"/>
            </w:pPr>
            <w:r w:rsidRPr="00C9115F">
              <w:t>4</w:t>
            </w:r>
          </w:p>
        </w:tc>
        <w:tc>
          <w:tcPr>
            <w:tcW w:w="2200" w:type="dxa"/>
            <w:hideMark/>
          </w:tcPr>
          <w:p w14:paraId="70DBD604" w14:textId="77777777" w:rsidR="00C9115F" w:rsidRPr="00C9115F" w:rsidRDefault="00C9115F" w:rsidP="00C9115F">
            <w:pPr>
              <w:spacing w:after="160" w:line="278" w:lineRule="auto"/>
            </w:pPr>
            <w:r w:rsidRPr="00C9115F">
              <w:t>Committed vs Discretionary Split</w:t>
            </w:r>
          </w:p>
        </w:tc>
        <w:tc>
          <w:tcPr>
            <w:tcW w:w="3600" w:type="dxa"/>
            <w:hideMark/>
          </w:tcPr>
          <w:p w14:paraId="3CAE417A" w14:textId="77777777" w:rsidR="00C9115F" w:rsidRPr="00C9115F" w:rsidRDefault="00C9115F" w:rsidP="00C9115F">
            <w:pPr>
              <w:spacing w:after="160" w:line="278" w:lineRule="auto"/>
            </w:pPr>
            <w:r w:rsidRPr="00C9115F">
              <w:t xml:space="preserve">What percentage of income is already allocated to fixed costs (rent, subscriptions, gym) vs what is genuinely flexible — the ratio </w:t>
            </w:r>
            <w:proofErr w:type="spellStart"/>
            <w:r w:rsidRPr="00C9115F">
              <w:t>Kavindu</w:t>
            </w:r>
            <w:proofErr w:type="spellEnd"/>
            <w:r w:rsidRPr="00C9115F">
              <w:t xml:space="preserve"> has never seen</w:t>
            </w:r>
          </w:p>
        </w:tc>
        <w:tc>
          <w:tcPr>
            <w:tcW w:w="1826" w:type="dxa"/>
            <w:hideMark/>
          </w:tcPr>
          <w:p w14:paraId="0412C010" w14:textId="77777777" w:rsidR="00C9115F" w:rsidRPr="00C9115F" w:rsidRDefault="00C9115F" w:rsidP="00C9115F">
            <w:pPr>
              <w:spacing w:after="160" w:line="278" w:lineRule="auto"/>
            </w:pPr>
            <w:r w:rsidRPr="00C9115F">
              <w:t>Insights Screen</w:t>
            </w:r>
          </w:p>
        </w:tc>
      </w:tr>
      <w:tr w:rsidR="00C9115F" w:rsidRPr="00C9115F" w14:paraId="0E3F051B" w14:textId="77777777" w:rsidTr="00C9115F">
        <w:tc>
          <w:tcPr>
            <w:tcW w:w="400" w:type="dxa"/>
            <w:hideMark/>
          </w:tcPr>
          <w:p w14:paraId="7791DFC0" w14:textId="77777777" w:rsidR="00C9115F" w:rsidRPr="00C9115F" w:rsidRDefault="00C9115F" w:rsidP="00C9115F">
            <w:pPr>
              <w:spacing w:after="160" w:line="278" w:lineRule="auto"/>
            </w:pPr>
            <w:r w:rsidRPr="00C9115F">
              <w:t>5</w:t>
            </w:r>
          </w:p>
        </w:tc>
        <w:tc>
          <w:tcPr>
            <w:tcW w:w="2200" w:type="dxa"/>
            <w:hideMark/>
          </w:tcPr>
          <w:p w14:paraId="3241C1D6" w14:textId="77777777" w:rsidR="00C9115F" w:rsidRPr="00C9115F" w:rsidRDefault="00C9115F" w:rsidP="00C9115F">
            <w:pPr>
              <w:spacing w:after="160" w:line="278" w:lineRule="auto"/>
            </w:pPr>
            <w:r w:rsidRPr="00C9115F">
              <w:t>Monthly Savings Trend</w:t>
            </w:r>
          </w:p>
        </w:tc>
        <w:tc>
          <w:tcPr>
            <w:tcW w:w="3600" w:type="dxa"/>
            <w:hideMark/>
          </w:tcPr>
          <w:p w14:paraId="1FB5F69A" w14:textId="3C1C2530" w:rsidR="00C9115F" w:rsidRPr="00C9115F" w:rsidRDefault="00C9115F" w:rsidP="00C9115F">
            <w:pPr>
              <w:spacing w:after="160" w:line="278" w:lineRule="auto"/>
            </w:pPr>
            <w:r w:rsidRPr="00C9115F">
              <w:t xml:space="preserve">Month-over-month savings history — shows whether </w:t>
            </w:r>
            <w:r>
              <w:t>behavior</w:t>
            </w:r>
            <w:r w:rsidRPr="00C9115F">
              <w:t xml:space="preserve"> is improving, stable, or deteriorating</w:t>
            </w:r>
          </w:p>
        </w:tc>
        <w:tc>
          <w:tcPr>
            <w:tcW w:w="1826" w:type="dxa"/>
            <w:hideMark/>
          </w:tcPr>
          <w:p w14:paraId="22C22CD7" w14:textId="77777777" w:rsidR="00C9115F" w:rsidRPr="00C9115F" w:rsidRDefault="00C9115F" w:rsidP="00C9115F">
            <w:pPr>
              <w:spacing w:after="160" w:line="278" w:lineRule="auto"/>
            </w:pPr>
            <w:r w:rsidRPr="00C9115F">
              <w:t>Goal Screen</w:t>
            </w:r>
          </w:p>
        </w:tc>
      </w:tr>
    </w:tbl>
    <w:p w14:paraId="22B39DD9" w14:textId="77777777" w:rsidR="00C9115F" w:rsidRPr="00C9115F" w:rsidRDefault="00C9115F" w:rsidP="00C9115F"/>
    <w:p w14:paraId="5FBB5AC8" w14:textId="77777777" w:rsidR="00C9115F" w:rsidRPr="00C9115F" w:rsidRDefault="00C9115F" w:rsidP="00C9115F">
      <w:pPr>
        <w:rPr>
          <w:b/>
          <w:bCs/>
          <w:color w:val="0F4761" w:themeColor="accent1" w:themeShade="BF"/>
        </w:rPr>
      </w:pPr>
      <w:r w:rsidRPr="00C9115F">
        <w:rPr>
          <w:b/>
          <w:bCs/>
          <w:color w:val="0F4761" w:themeColor="accent1" w:themeShade="BF"/>
        </w:rPr>
        <w:t>4.4 Discretionary vs Committed Spending Ratio</w:t>
      </w:r>
    </w:p>
    <w:p w14:paraId="31969967" w14:textId="7865E80F" w:rsidR="00C9115F" w:rsidRPr="00C9115F" w:rsidRDefault="00C9115F" w:rsidP="00C9115F">
      <w:r w:rsidRPr="00C9115F">
        <w:lastRenderedPageBreak/>
        <w:t xml:space="preserve">This is one of the most valuable insights </w:t>
      </w:r>
      <w:proofErr w:type="spellStart"/>
      <w:r w:rsidRPr="00C9115F">
        <w:t>FinPilot</w:t>
      </w:r>
      <w:proofErr w:type="spellEnd"/>
      <w:r w:rsidRPr="00C9115F">
        <w:t xml:space="preserve"> can provide because </w:t>
      </w:r>
      <w:proofErr w:type="spellStart"/>
      <w:r w:rsidRPr="00C9115F">
        <w:t>Kavindu</w:t>
      </w:r>
      <w:proofErr w:type="spellEnd"/>
      <w:r w:rsidRPr="00C9115F">
        <w:t xml:space="preserve"> has never seen it. He knows his rent is LKR 34,000. He does not know that his gym, two subscriptions, and utility auto-debits add another estimated LKR </w:t>
      </w:r>
      <w:proofErr w:type="gramStart"/>
      <w:r w:rsidRPr="00C9115F">
        <w:t>15,000</w:t>
      </w:r>
      <w:proofErr w:type="gramEnd"/>
      <w:r w:rsidRPr="00C9115F">
        <w:t xml:space="preserve"> bringing his committed monthly outflows to approximately LKR 49,000 before he spends a single discretionary rupee.</w:t>
      </w:r>
    </w:p>
    <w:p w14:paraId="7987C9B9" w14:textId="77777777" w:rsidR="00C9115F" w:rsidRPr="00C9115F" w:rsidRDefault="00C9115F" w:rsidP="00C9115F">
      <w:proofErr w:type="spellStart"/>
      <w:r w:rsidRPr="00C9115F">
        <w:t>FinPilot</w:t>
      </w:r>
      <w:proofErr w:type="spellEnd"/>
      <w:r w:rsidRPr="00C9115F">
        <w:t xml:space="preserve"> computes this ratio using the </w:t>
      </w:r>
      <w:proofErr w:type="spellStart"/>
      <w:r w:rsidRPr="00C9115F">
        <w:t>isRecurring</w:t>
      </w:r>
      <w:proofErr w:type="spellEnd"/>
      <w:r w:rsidRPr="00C9115F">
        <w:t xml:space="preserve"> field on expense records. Committed expenses are those marked as recurring (rent, subscriptions, gym, utility auto-debits). Everything else is discretionary. Displaying this ratio as: 'LKR 49,000 committed (31% of income) | LKR X discretionary remaining' immediately reframes how </w:t>
      </w:r>
      <w:proofErr w:type="spellStart"/>
      <w:r w:rsidRPr="00C9115F">
        <w:t>Kavindu</w:t>
      </w:r>
      <w:proofErr w:type="spellEnd"/>
      <w:r w:rsidRPr="00C9115F">
        <w:t xml:space="preserve"> thinks about his available spending money.</w:t>
      </w:r>
    </w:p>
    <w:p w14:paraId="6952BF15" w14:textId="26F4D179" w:rsidR="00C9115F" w:rsidRPr="00C9115F" w:rsidRDefault="00C9115F" w:rsidP="00C9115F">
      <w:pPr>
        <w:rPr>
          <w:b/>
          <w:bCs/>
          <w:color w:val="0F4761" w:themeColor="accent1" w:themeShade="BF"/>
        </w:rPr>
      </w:pPr>
      <w:r w:rsidRPr="00C9115F">
        <w:rPr>
          <w:b/>
          <w:bCs/>
          <w:color w:val="0F4761" w:themeColor="accent1" w:themeShade="BF"/>
        </w:rPr>
        <w:t xml:space="preserve">4.5 </w:t>
      </w:r>
      <w:r w:rsidRPr="00C9115F">
        <w:rPr>
          <w:b/>
          <w:bCs/>
          <w:color w:val="0F4761" w:themeColor="accent1" w:themeShade="BF"/>
        </w:rPr>
        <w:t>Visualization</w:t>
      </w:r>
      <w:r w:rsidRPr="00C9115F">
        <w:rPr>
          <w:b/>
          <w:bCs/>
          <w:color w:val="0F4761" w:themeColor="accent1" w:themeShade="BF"/>
        </w:rPr>
        <w:t xml:space="preserve"> Design Principles</w:t>
      </w:r>
    </w:p>
    <w:p w14:paraId="267972A8" w14:textId="77777777" w:rsidR="00C9115F" w:rsidRPr="00C9115F" w:rsidRDefault="00C9115F" w:rsidP="00C9115F">
      <w:pPr>
        <w:numPr>
          <w:ilvl w:val="0"/>
          <w:numId w:val="2"/>
        </w:numPr>
      </w:pPr>
      <w:r w:rsidRPr="00C9115F">
        <w:t xml:space="preserve">Charts must be immediately readable without explanation — </w:t>
      </w:r>
      <w:proofErr w:type="spellStart"/>
      <w:r w:rsidRPr="00C9115F">
        <w:t>colour</w:t>
      </w:r>
      <w:proofErr w:type="spellEnd"/>
      <w:r w:rsidRPr="00C9115F">
        <w:t xml:space="preserve"> coding, legends, and labels must be self-evident.</w:t>
      </w:r>
    </w:p>
    <w:p w14:paraId="1C304B55" w14:textId="77777777" w:rsidR="00C9115F" w:rsidRPr="00C9115F" w:rsidRDefault="00C9115F" w:rsidP="00C9115F">
      <w:pPr>
        <w:numPr>
          <w:ilvl w:val="0"/>
          <w:numId w:val="2"/>
        </w:numPr>
      </w:pPr>
      <w:r w:rsidRPr="00C9115F">
        <w:t>Numbers must always accompany visual elements — a chart without the underlying figure is incomplete.</w:t>
      </w:r>
    </w:p>
    <w:p w14:paraId="03C6CD7B" w14:textId="77777777" w:rsidR="00C9115F" w:rsidRPr="00C9115F" w:rsidRDefault="00C9115F" w:rsidP="00C9115F">
      <w:pPr>
        <w:numPr>
          <w:ilvl w:val="0"/>
          <w:numId w:val="2"/>
        </w:numPr>
      </w:pPr>
      <w:r w:rsidRPr="00C9115F">
        <w:t xml:space="preserve">Goal progress must be the most prominent visual element on the dashboard — it is </w:t>
      </w:r>
      <w:proofErr w:type="spellStart"/>
      <w:r w:rsidRPr="00C9115F">
        <w:t>Kavindu's</w:t>
      </w:r>
      <w:proofErr w:type="spellEnd"/>
      <w:r w:rsidRPr="00C9115F">
        <w:t xml:space="preserve"> primary motivation for using the app.</w:t>
      </w:r>
    </w:p>
    <w:p w14:paraId="7CC593BD" w14:textId="77777777" w:rsidR="00C9115F" w:rsidRPr="00C9115F" w:rsidRDefault="00C9115F" w:rsidP="00C9115F">
      <w:pPr>
        <w:numPr>
          <w:ilvl w:val="0"/>
          <w:numId w:val="2"/>
        </w:numPr>
      </w:pPr>
      <w:r w:rsidRPr="00C9115F">
        <w:t>Negative states (over budget, behind on goal) must be surfaced without being punitive — the tone is informational, not judgmental.</w:t>
      </w:r>
    </w:p>
    <w:p w14:paraId="42C1B25F" w14:textId="77777777" w:rsidR="00C9115F" w:rsidRPr="00C9115F" w:rsidRDefault="00C9115F" w:rsidP="00C9115F">
      <w:pPr>
        <w:numPr>
          <w:ilvl w:val="0"/>
          <w:numId w:val="2"/>
        </w:numPr>
      </w:pPr>
      <w:r w:rsidRPr="00C9115F">
        <w:t xml:space="preserve">All charts must </w:t>
      </w:r>
      <w:proofErr w:type="gramStart"/>
      <w:r w:rsidRPr="00C9115F">
        <w:t>render</w:t>
      </w:r>
      <w:proofErr w:type="gramEnd"/>
      <w:r w:rsidRPr="00C9115F">
        <w:t xml:space="preserve"> correctly with minimal </w:t>
      </w:r>
      <w:proofErr w:type="gramStart"/>
      <w:r w:rsidRPr="00C9115F">
        <w:t>data — a</w:t>
      </w:r>
      <w:proofErr w:type="gramEnd"/>
      <w:r w:rsidRPr="00C9115F">
        <w:t xml:space="preserve"> single week of entries should produce a meaningful, not broken, chart.</w:t>
      </w:r>
    </w:p>
    <w:p w14:paraId="1BE4B1F8" w14:textId="77777777" w:rsidR="00C9115F" w:rsidRPr="00C9115F" w:rsidRDefault="00C9115F" w:rsidP="00C9115F">
      <w:pPr>
        <w:rPr>
          <w:b/>
          <w:bCs/>
          <w:color w:val="0F4761" w:themeColor="accent1" w:themeShade="BF"/>
        </w:rPr>
      </w:pPr>
      <w:r w:rsidRPr="00C9115F">
        <w:rPr>
          <w:b/>
          <w:bCs/>
          <w:color w:val="0F4761" w:themeColor="accent1" w:themeShade="BF"/>
        </w:rPr>
        <w:t>4.6 Goal Tracking Implementation Logic</w:t>
      </w:r>
    </w:p>
    <w:p w14:paraId="2F8C2733" w14:textId="0FCABE0A" w:rsidR="00C9115F" w:rsidRPr="00C9115F" w:rsidRDefault="00C9115F" w:rsidP="00C9115F">
      <w:r w:rsidRPr="00C9115F">
        <w:t xml:space="preserve">The goal's </w:t>
      </w:r>
      <w:proofErr w:type="spellStart"/>
      <w:proofErr w:type="gramStart"/>
      <w:r w:rsidRPr="00C9115F">
        <w:t>currentAmount</w:t>
      </w:r>
      <w:proofErr w:type="spellEnd"/>
      <w:proofErr w:type="gramEnd"/>
      <w:r w:rsidRPr="00C9115F">
        <w:t xml:space="preserve"> field is not </w:t>
      </w:r>
      <w:proofErr w:type="gramStart"/>
      <w:r w:rsidRPr="00C9115F">
        <w:t>auto-calculated</w:t>
      </w:r>
      <w:proofErr w:type="gramEnd"/>
      <w:r w:rsidRPr="00C9115F">
        <w:t xml:space="preserve"> from expense </w:t>
      </w:r>
      <w:proofErr w:type="gramStart"/>
      <w:r w:rsidRPr="00C9115F">
        <w:t>records</w:t>
      </w:r>
      <w:proofErr w:type="gramEnd"/>
      <w:r w:rsidRPr="00C9115F">
        <w:t xml:space="preserve"> this would conflate spending with saving. Instead, </w:t>
      </w:r>
      <w:proofErr w:type="spellStart"/>
      <w:r w:rsidRPr="00C9115F">
        <w:t>FinPilot</w:t>
      </w:r>
      <w:proofErr w:type="spellEnd"/>
      <w:r w:rsidRPr="00C9115F">
        <w:t xml:space="preserve"> treats saving as an explicit act: when </w:t>
      </w:r>
      <w:proofErr w:type="spellStart"/>
      <w:r w:rsidRPr="00C9115F">
        <w:t>Kavindu</w:t>
      </w:r>
      <w:proofErr w:type="spellEnd"/>
      <w:r w:rsidRPr="00C9115F">
        <w:t xml:space="preserve"> identifies money as 'saved toward the MacBook', he </w:t>
      </w:r>
      <w:proofErr w:type="gramStart"/>
      <w:r w:rsidRPr="00C9115F">
        <w:t>logs</w:t>
      </w:r>
      <w:proofErr w:type="gramEnd"/>
      <w:r w:rsidRPr="00C9115F">
        <w:t xml:space="preserve"> a savings event. This event increases the goal's </w:t>
      </w:r>
      <w:proofErr w:type="spellStart"/>
      <w:proofErr w:type="gramStart"/>
      <w:r w:rsidRPr="00C9115F">
        <w:t>currentAmount</w:t>
      </w:r>
      <w:proofErr w:type="spellEnd"/>
      <w:proofErr w:type="gramEnd"/>
      <w:r w:rsidRPr="00C9115F">
        <w:t xml:space="preserve"> and creates a transparent record of deliberate saving, separate from the organic surplus that may or may not exist at month end.</w:t>
      </w:r>
    </w:p>
    <w:p w14:paraId="2EC89A88" w14:textId="649F120B" w:rsidR="00C9115F" w:rsidRPr="00C9115F" w:rsidRDefault="00C9115F" w:rsidP="00C9115F">
      <w:r w:rsidRPr="00C9115F">
        <w:t xml:space="preserve">Additionally, </w:t>
      </w:r>
      <w:proofErr w:type="spellStart"/>
      <w:r w:rsidRPr="00C9115F">
        <w:t>FinPilot</w:t>
      </w:r>
      <w:proofErr w:type="spellEnd"/>
      <w:r w:rsidRPr="00C9115F">
        <w:t xml:space="preserve"> should compute a projected surplus each month: total income recorded minus total expenses recorded. This projected surplus, if sustained, is displayed as a secondary figure alongside the explicit savings record helping </w:t>
      </w:r>
      <w:proofErr w:type="spellStart"/>
      <w:r w:rsidRPr="00C9115F">
        <w:t>Kavindu</w:t>
      </w:r>
      <w:proofErr w:type="spellEnd"/>
      <w:r w:rsidRPr="00C9115F">
        <w:t xml:space="preserve"> understand the gap between what he could theoretically save and what he </w:t>
      </w:r>
      <w:proofErr w:type="gramStart"/>
      <w:r w:rsidRPr="00C9115F">
        <w:t>actually designates</w:t>
      </w:r>
      <w:proofErr w:type="gramEnd"/>
      <w:r w:rsidRPr="00C9115F">
        <w:t xml:space="preserve"> as saved.</w:t>
      </w:r>
    </w:p>
    <w:p w14:paraId="064E09A2" w14:textId="77777777" w:rsidR="00C9115F" w:rsidRDefault="00C9115F" w:rsidP="00C9115F"/>
    <w:p w14:paraId="3D65167B" w14:textId="6A1C34FD" w:rsidR="00C9115F" w:rsidRPr="00C9115F" w:rsidRDefault="00C9115F" w:rsidP="00C9115F">
      <w:r w:rsidRPr="00C9115F">
        <w:rPr>
          <w:b/>
          <w:bCs/>
        </w:rPr>
        <w:t>Core Insight</w:t>
      </w:r>
    </w:p>
    <w:p w14:paraId="4F3E3E45" w14:textId="5DEDF3DA" w:rsidR="000B16CC" w:rsidRDefault="00C9115F">
      <w:r w:rsidRPr="00C9115F">
        <w:rPr>
          <w:i/>
          <w:iCs/>
        </w:rPr>
        <w:lastRenderedPageBreak/>
        <w:t xml:space="preserve">The goal must be visible every time </w:t>
      </w:r>
      <w:proofErr w:type="spellStart"/>
      <w:r w:rsidRPr="00C9115F">
        <w:rPr>
          <w:i/>
          <w:iCs/>
        </w:rPr>
        <w:t>Kavindu</w:t>
      </w:r>
      <w:proofErr w:type="spellEnd"/>
      <w:r w:rsidRPr="00C9115F">
        <w:rPr>
          <w:i/>
          <w:iCs/>
        </w:rPr>
        <w:t xml:space="preserve"> opens the app. Not buried in a separate screen </w:t>
      </w:r>
      <w:r>
        <w:rPr>
          <w:i/>
          <w:iCs/>
        </w:rPr>
        <w:t xml:space="preserve">- </w:t>
      </w:r>
      <w:r w:rsidRPr="00C9115F">
        <w:rPr>
          <w:i/>
          <w:iCs/>
        </w:rPr>
        <w:t>present on the dashboard, updated in real time, and connected to his daily spending decisions. This is the single most important design requirement that no previous tool has met.</w:t>
      </w:r>
    </w:p>
    <w:sectPr w:rsidR="000B16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B0D1C"/>
    <w:multiLevelType w:val="hybridMultilevel"/>
    <w:tmpl w:val="3B70AF74"/>
    <w:lvl w:ilvl="0" w:tplc="A9BADC9E">
      <w:start w:val="1"/>
      <w:numFmt w:val="bullet"/>
      <w:lvlText w:val="•"/>
      <w:lvlJc w:val="left"/>
      <w:pPr>
        <w:ind w:left="720" w:hanging="360"/>
      </w:pPr>
    </w:lvl>
    <w:lvl w:ilvl="1" w:tplc="4FA28A40">
      <w:start w:val="1"/>
      <w:numFmt w:val="bullet"/>
      <w:lvlText w:val="◦"/>
      <w:lvlJc w:val="left"/>
      <w:pPr>
        <w:ind w:left="1080" w:hanging="360"/>
      </w:pPr>
    </w:lvl>
    <w:lvl w:ilvl="2" w:tplc="5B5098E0">
      <w:numFmt w:val="decimal"/>
      <w:lvlText w:val=""/>
      <w:lvlJc w:val="left"/>
      <w:pPr>
        <w:ind w:left="0" w:firstLine="0"/>
      </w:pPr>
    </w:lvl>
    <w:lvl w:ilvl="3" w:tplc="39A0F714">
      <w:numFmt w:val="decimal"/>
      <w:lvlText w:val=""/>
      <w:lvlJc w:val="left"/>
      <w:pPr>
        <w:ind w:left="0" w:firstLine="0"/>
      </w:pPr>
    </w:lvl>
    <w:lvl w:ilvl="4" w:tplc="3D52CDE6">
      <w:numFmt w:val="decimal"/>
      <w:lvlText w:val=""/>
      <w:lvlJc w:val="left"/>
      <w:pPr>
        <w:ind w:left="0" w:firstLine="0"/>
      </w:pPr>
    </w:lvl>
    <w:lvl w:ilvl="5" w:tplc="6804EC24">
      <w:numFmt w:val="decimal"/>
      <w:lvlText w:val=""/>
      <w:lvlJc w:val="left"/>
      <w:pPr>
        <w:ind w:left="0" w:firstLine="0"/>
      </w:pPr>
    </w:lvl>
    <w:lvl w:ilvl="6" w:tplc="D662FBEC">
      <w:numFmt w:val="decimal"/>
      <w:lvlText w:val=""/>
      <w:lvlJc w:val="left"/>
      <w:pPr>
        <w:ind w:left="0" w:firstLine="0"/>
      </w:pPr>
    </w:lvl>
    <w:lvl w:ilvl="7" w:tplc="2A36D0CE">
      <w:numFmt w:val="decimal"/>
      <w:lvlText w:val=""/>
      <w:lvlJc w:val="left"/>
      <w:pPr>
        <w:ind w:left="0" w:firstLine="0"/>
      </w:pPr>
    </w:lvl>
    <w:lvl w:ilvl="8" w:tplc="2D686068">
      <w:numFmt w:val="decimal"/>
      <w:lvlText w:val=""/>
      <w:lvlJc w:val="left"/>
      <w:pPr>
        <w:ind w:left="0" w:firstLine="0"/>
      </w:pPr>
    </w:lvl>
  </w:abstractNum>
  <w:abstractNum w:abstractNumId="1" w15:restartNumberingAfterBreak="0">
    <w:nsid w:val="75691B12"/>
    <w:multiLevelType w:val="hybridMultilevel"/>
    <w:tmpl w:val="5490A176"/>
    <w:lvl w:ilvl="0" w:tplc="B8BC83B8">
      <w:start w:val="1"/>
      <w:numFmt w:val="decimal"/>
      <w:lvlText w:val="%1."/>
      <w:lvlJc w:val="left"/>
      <w:pPr>
        <w:ind w:left="720" w:hanging="360"/>
      </w:pPr>
    </w:lvl>
    <w:lvl w:ilvl="1" w:tplc="9E0A7208">
      <w:numFmt w:val="decimal"/>
      <w:lvlText w:val=""/>
      <w:lvlJc w:val="left"/>
      <w:pPr>
        <w:ind w:left="0" w:firstLine="0"/>
      </w:pPr>
    </w:lvl>
    <w:lvl w:ilvl="2" w:tplc="1CB6E0A4">
      <w:numFmt w:val="decimal"/>
      <w:lvlText w:val=""/>
      <w:lvlJc w:val="left"/>
      <w:pPr>
        <w:ind w:left="0" w:firstLine="0"/>
      </w:pPr>
    </w:lvl>
    <w:lvl w:ilvl="3" w:tplc="A0E01ABE">
      <w:numFmt w:val="decimal"/>
      <w:lvlText w:val=""/>
      <w:lvlJc w:val="left"/>
      <w:pPr>
        <w:ind w:left="0" w:firstLine="0"/>
      </w:pPr>
    </w:lvl>
    <w:lvl w:ilvl="4" w:tplc="69F41196">
      <w:numFmt w:val="decimal"/>
      <w:lvlText w:val=""/>
      <w:lvlJc w:val="left"/>
      <w:pPr>
        <w:ind w:left="0" w:firstLine="0"/>
      </w:pPr>
    </w:lvl>
    <w:lvl w:ilvl="5" w:tplc="E9B8FD4C">
      <w:numFmt w:val="decimal"/>
      <w:lvlText w:val=""/>
      <w:lvlJc w:val="left"/>
      <w:pPr>
        <w:ind w:left="0" w:firstLine="0"/>
      </w:pPr>
    </w:lvl>
    <w:lvl w:ilvl="6" w:tplc="F72E589C">
      <w:numFmt w:val="decimal"/>
      <w:lvlText w:val=""/>
      <w:lvlJc w:val="left"/>
      <w:pPr>
        <w:ind w:left="0" w:firstLine="0"/>
      </w:pPr>
    </w:lvl>
    <w:lvl w:ilvl="7" w:tplc="DDFCA00E">
      <w:numFmt w:val="decimal"/>
      <w:lvlText w:val=""/>
      <w:lvlJc w:val="left"/>
      <w:pPr>
        <w:ind w:left="0" w:firstLine="0"/>
      </w:pPr>
    </w:lvl>
    <w:lvl w:ilvl="8" w:tplc="C706EE7C">
      <w:numFmt w:val="decimal"/>
      <w:lvlText w:val=""/>
      <w:lvlJc w:val="left"/>
      <w:pPr>
        <w:ind w:left="0" w:firstLine="0"/>
      </w:pPr>
    </w:lvl>
  </w:abstractNum>
  <w:num w:numId="1" w16cid:durableId="330303818">
    <w:abstractNumId w:val="0"/>
    <w:lvlOverride w:ilvl="0"/>
    <w:lvlOverride w:ilvl="1"/>
    <w:lvlOverride w:ilvl="2"/>
    <w:lvlOverride w:ilvl="3"/>
    <w:lvlOverride w:ilvl="4"/>
    <w:lvlOverride w:ilvl="5"/>
    <w:lvlOverride w:ilvl="6"/>
    <w:lvlOverride w:ilvl="7"/>
    <w:lvlOverride w:ilvl="8"/>
  </w:num>
  <w:num w:numId="2" w16cid:durableId="1700666584">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15F"/>
    <w:rsid w:val="000B16CC"/>
    <w:rsid w:val="0079222B"/>
    <w:rsid w:val="00803B9A"/>
    <w:rsid w:val="00C91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29D7D"/>
  <w15:chartTrackingRefBased/>
  <w15:docId w15:val="{55038754-85C3-41D6-B384-FBB9DC1AF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15F"/>
    <w:rPr>
      <w:rFonts w:eastAsiaTheme="majorEastAsia" w:cstheme="majorBidi"/>
      <w:color w:val="272727" w:themeColor="text1" w:themeTint="D8"/>
    </w:rPr>
  </w:style>
  <w:style w:type="paragraph" w:styleId="Title">
    <w:name w:val="Title"/>
    <w:basedOn w:val="Normal"/>
    <w:next w:val="Normal"/>
    <w:link w:val="TitleChar"/>
    <w:uiPriority w:val="10"/>
    <w:qFormat/>
    <w:rsid w:val="00C91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15F"/>
    <w:pPr>
      <w:spacing w:before="160"/>
      <w:jc w:val="center"/>
    </w:pPr>
    <w:rPr>
      <w:i/>
      <w:iCs/>
      <w:color w:val="404040" w:themeColor="text1" w:themeTint="BF"/>
    </w:rPr>
  </w:style>
  <w:style w:type="character" w:customStyle="1" w:styleId="QuoteChar">
    <w:name w:val="Quote Char"/>
    <w:basedOn w:val="DefaultParagraphFont"/>
    <w:link w:val="Quote"/>
    <w:uiPriority w:val="29"/>
    <w:rsid w:val="00C9115F"/>
    <w:rPr>
      <w:i/>
      <w:iCs/>
      <w:color w:val="404040" w:themeColor="text1" w:themeTint="BF"/>
    </w:rPr>
  </w:style>
  <w:style w:type="paragraph" w:styleId="ListParagraph">
    <w:name w:val="List Paragraph"/>
    <w:basedOn w:val="Normal"/>
    <w:uiPriority w:val="34"/>
    <w:qFormat/>
    <w:rsid w:val="00C9115F"/>
    <w:pPr>
      <w:ind w:left="720"/>
      <w:contextualSpacing/>
    </w:pPr>
  </w:style>
  <w:style w:type="character" w:styleId="IntenseEmphasis">
    <w:name w:val="Intense Emphasis"/>
    <w:basedOn w:val="DefaultParagraphFont"/>
    <w:uiPriority w:val="21"/>
    <w:qFormat/>
    <w:rsid w:val="00C9115F"/>
    <w:rPr>
      <w:i/>
      <w:iCs/>
      <w:color w:val="0F4761" w:themeColor="accent1" w:themeShade="BF"/>
    </w:rPr>
  </w:style>
  <w:style w:type="paragraph" w:styleId="IntenseQuote">
    <w:name w:val="Intense Quote"/>
    <w:basedOn w:val="Normal"/>
    <w:next w:val="Normal"/>
    <w:link w:val="IntenseQuoteChar"/>
    <w:uiPriority w:val="30"/>
    <w:qFormat/>
    <w:rsid w:val="00C91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15F"/>
    <w:rPr>
      <w:i/>
      <w:iCs/>
      <w:color w:val="0F4761" w:themeColor="accent1" w:themeShade="BF"/>
    </w:rPr>
  </w:style>
  <w:style w:type="character" w:styleId="IntenseReference">
    <w:name w:val="Intense Reference"/>
    <w:basedOn w:val="DefaultParagraphFont"/>
    <w:uiPriority w:val="32"/>
    <w:qFormat/>
    <w:rsid w:val="00C9115F"/>
    <w:rPr>
      <w:b/>
      <w:bCs/>
      <w:smallCaps/>
      <w:color w:val="0F4761" w:themeColor="accent1" w:themeShade="BF"/>
      <w:spacing w:val="5"/>
    </w:rPr>
  </w:style>
  <w:style w:type="table" w:styleId="TableGridLight">
    <w:name w:val="Grid Table Light"/>
    <w:basedOn w:val="TableNormal"/>
    <w:uiPriority w:val="40"/>
    <w:rsid w:val="00C911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C911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843</Words>
  <Characters>4811</Characters>
  <Application>Microsoft Office Word</Application>
  <DocSecurity>0</DocSecurity>
  <Lines>40</Lines>
  <Paragraphs>11</Paragraphs>
  <ScaleCrop>false</ScaleCrop>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Vinuki Thiranya</dc:creator>
  <cp:keywords/>
  <dc:description/>
  <cp:lastModifiedBy>Vinuki Thiranya</cp:lastModifiedBy>
  <cp:revision>1</cp:revision>
  <dcterms:created xsi:type="dcterms:W3CDTF">2026-04-28T08:51:00Z</dcterms:created>
  <dcterms:modified xsi:type="dcterms:W3CDTF">2026-04-28T09:01:00Z</dcterms:modified>
</cp:coreProperties>
</file>