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6b3a"/>
          <w:sz w:val="44"/>
          <w:szCs w:val="44"/>
        </w:rPr>
        <w:t xml:space="preserve">Plan de Desarrollo y Monetización</w:t>
      </w:r>
    </w:p>
    <w:p>
      <w:pPr>
        <w:spacing w:after="40"/>
      </w:pPr>
      <w:r>
        <w:rPr>
          <w:color w:val="1a1a2e"/>
          <w:sz w:val="28"/>
          <w:szCs w:val="28"/>
        </w:rPr>
        <w:t xml:space="preserve">El Quisqueyano en NYC — Quisqueya Travel</w:t>
      </w:r>
    </w:p>
    <w:p>
      <w:pPr>
        <w:spacing w:after="400"/>
      </w:pPr>
      <w:r>
        <w:rPr>
          <w:i/>
          <w:iCs/>
          <w:color w:val="555555"/>
          <w:sz w:val="20"/>
          <w:szCs w:val="20"/>
        </w:rPr>
        <w:t xml:space="preserve">Preparado para Venul Hernández · 12 de agosto de 2026</w:t>
      </w:r>
    </w:p>
    <w:p>
      <w:pPr>
        <w:pStyle w:val="Heading1"/>
        <w:spacing w:after="200" w:before="400"/>
      </w:pPr>
      <w:r>
        <w:t xml:space="preserve">1. Diagnóstico: por qué todavía no hay ingresos</w:t>
      </w:r>
    </w:p>
    <w:p>
      <w:pPr>
        <w:spacing w:after="200"/>
        <w:jc w:val="both"/>
      </w:pPr>
      <w:r>
        <w:t xml:space="preserve">La página no está fallando por falta de gente viéndola. En los últimos 28 días el sitio quisqueyatravel.org registró 26,000 usuarios activos y 30,000 vistas de página, casi todas concentradas en la portada. El problema real está en dos capas distintas que se están tapando una a la otra: el tráfico pagado que estás comprando en Meta Ads no se está comportando como gente real, y el poco tráfico que sí llega a una guía específica (donde están los botones de reserva) casi nunca convierte en una comisión.</w:t>
      </w:r>
    </w:p>
    <w:p>
      <w:pPr>
        <w:spacing w:after="200"/>
        <w:jc w:val="both"/>
      </w:pPr>
      <w:r>
        <w:t xml:space="preserve">La evidencia es contundente. De esos 26,000 usuarios, el tiempo de interacción promedio es de 0 segundos y solo hay 0.04 sesiones con interacción por usuario activo. En todo el mes se registraron apenas 33 eventos de clic en todo el sitio y un solo evento clic_reserva_hotel — el evento que de verdad indica que alguien llegó al botón de reservar un hotel. La portada, que concentra el 100% del tráfico pagado, tiene un rebote de 96.6%. Este patrón (volumen alto, costo por clic casi regalado de $0.01-0.02, cero interacción real) es la firma clásica de tráfico de bajo valor: ubicaciones automáticas de Meta (Advantage+) que reparten buena parte del presupuesto en Audience Network, dentro de juegos y apps ajenas donde los "clics" son toques accidentales, no personas interesadas en viajar a RD.</w:t>
      </w:r>
    </w:p>
    <w:p>
      <w:pPr>
        <w:spacing w:after="200"/>
        <w:jc w:val="both"/>
      </w:pPr>
      <w:r>
        <w:t xml:space="preserve">A esto se le suma un bloqueador que ya conoces de otra etapa del proyecto: durante meses, Travelpayouts generó clics pero cero comisión porque nunca se configuró el método de pago — no era un problema técnico, era un formulario sin llenar. El 7 de agosto se migró todo el sitio al programa de Booking.com vía CJ Affiliate (una cuenta nueva, recién aprobada). No hay confirmación en la bitácora de que el método de pago y los datos fiscales de esa cuenta nueva ya estén completos. Si se repite el mismo bloqueador con la cuenta nueva, ninguna de las otras mejoras de este plan va a producir un solo dólar.</w:t>
      </w:r>
    </w:p>
    <w:p>
      <w:pPr>
        <w:spacing w:after="200"/>
        <w:jc w:val="both"/>
      </w:pPr>
      <w:r>
        <w:t xml:space="preserve">En resumen: no es un problema de contenido ni de que la comunidad no exista — es un embudo con dos fugas grandes (tráfico de mala calidad + posible bloqueo de cobro) antes de siquiera llegar a la pregunta de si el sitio convierte bien.</w:t>
      </w:r>
    </w:p>
    <w:p>
      <w:pPr>
        <w:pStyle w:val="Heading1"/>
        <w:spacing w:after="200" w:before="400"/>
      </w:pPr>
      <w:r>
        <w:t xml:space="preserve">2. Fase 0 — Esta semana: lo que solo tú puedes resolver</w:t>
      </w:r>
    </w:p>
    <w:p>
      <w:pPr>
        <w:spacing w:after="200"/>
        <w:jc w:val="both"/>
      </w:pPr>
      <w:r>
        <w:t xml:space="preserve">Hay dos verificaciones que no puedo hacer por ti porque involucran datos financieros de tus cuentas, pero son la base de todo lo demás.</w:t>
      </w:r>
    </w:p>
    <w:p>
      <w:pPr>
        <w:spacing w:after="200"/>
        <w:jc w:val="both"/>
      </w:pPr>
      <w:r>
        <w:rPr>
          <w:b/>
          <w:bCs/>
        </w:rPr>
        <w:t xml:space="preserve">Método de pago en CJ Affiliate / Booking.com. </w:t>
      </w:r>
      <w:r>
        <w:t xml:space="preserve">Entra a tu cuenta de CJ (cj.com), busca el programa de Booking.com (CID 7985681) y confirma en la sección de pagos que tienes un método de cobro y datos fiscales completos, no solo la aprobación del programa. Esto es exactamente lo que faltó con Travelpayouts durante más de un mes de tráfico real sin cobrar nada.</w:t>
      </w:r>
    </w:p>
    <w:p>
      <w:pPr>
        <w:spacing w:after="200"/>
        <w:jc w:val="both"/>
      </w:pPr>
      <w:r>
        <w:rPr>
          <w:b/>
          <w:bCs/>
        </w:rPr>
        <w:t xml:space="preserve">Estado de la cuenta de Meta Ads. </w:t>
      </w:r>
      <w:r>
        <w:t xml:space="preserve">Hoy la cuenta (act_290012163) está activa y gastando $14.95 en 7 días — mucho menos que los $85 a $128 semanales que gastaba en julio. Confirma si bajaste el presupuesto a propósito por los malos resultados, o si fue el sistema el que lo redujo por otra razón. Esto cambia si la Fase 1 empieza corrigiendo la campaña actual o reactivándola desde cero.</w:t>
      </w:r>
    </w:p>
    <w:p>
      <w:pPr>
        <w:pStyle w:val="Heading1"/>
        <w:spacing w:after="200" w:before="400"/>
      </w:pPr>
      <w:r>
        <w:t xml:space="preserve">3. Fase 1 (semana 1-2) — Apagar el gasto que no convierte, antes de escalar nada</w:t>
      </w:r>
    </w:p>
    <w:p>
      <w:pPr>
        <w:spacing w:after="200"/>
        <w:jc w:val="both"/>
      </w:pPr>
      <w:r>
        <w:t xml:space="preserve">No tiene sentido meter más presupuesto a Meta Ads mientras siga optimizando para "tráfico" genérico. El primer cambio es técnico y se hace directo en Ads Manager: crear el evento de conversión personalizado sobre clic_reserva_hotel (el pixel 2054264274867364 ya lo está disparando, solo falta configurarlo como conversión en el Administrador de Eventos) y cambiar el objetivo de la campaña de tráfico a conversiones sobre ese evento. Esto obliga al algoritmo de Meta a buscar gente que de verdad llega al botón de reservar, no solo gente que hace scroll.</w:t>
      </w:r>
    </w:p>
    <w:p>
      <w:pPr>
        <w:spacing w:after="200"/>
        <w:jc w:val="both"/>
      </w:pPr>
      <w:r>
        <w:t xml:space="preserve">El segundo cambio es de ubicaciones: desactivar Audience Network y dejar solo Facebook e Instagram (Feed y Reels), que es donde ya vive tu audiencia orgánica real. El tercer cambio es de geografía: la campaña sigue mandando presupuesto a países que ya se probaron varias veces que no convierten (México, Puerto Rico, Argentina generan volumen barato pero cero intención real de reservar un viaje a RD) — concentrar el gasto en Estados Unidos y Canadá, que es donde vive la diáspora dominicana con intención real de viaje.</w:t>
      </w:r>
    </w:p>
    <w:p>
      <w:pPr>
        <w:pStyle w:val="Heading1"/>
        <w:spacing w:after="200" w:before="400"/>
      </w:pPr>
      <w:r>
        <w:t xml:space="preserve">4. Fase 2 (semana 2-4) — Cerrar las fugas del sitio</w:t>
      </w:r>
    </w:p>
    <w:p>
      <w:pPr>
        <w:spacing w:after="200"/>
        <w:jc w:val="both"/>
      </w:pPr>
      <w:r>
        <w:t xml:space="preserve">Casi todo el tráfico pagado aterriza en la portada y rebota antes de ver ninguna guía. Las guías individuales — donde están los botones reales de reserva — reciben apenas 4 a 22 vistas en todo el mes. La corrección más barata y de mayor impacto es simple: cada anuncio debe llevar directo a la guía específica del destino que promociona (si el anuncio habla de Punta Cana, el destino del clic es guia-punta-cana, no la portada), en vez de mandar todo a un home genérico que exige un paso extra de navegación que casi nadie da.</w:t>
      </w:r>
    </w:p>
    <w:p>
      <w:pPr>
        <w:spacing w:after="200"/>
        <w:jc w:val="both"/>
      </w:pPr>
      <w:r>
        <w:t xml:space="preserve">En paralelo, agregar parámetros UTM a todos los links que se comparten en Facebook e Instagram — pendiente documentado desde julio y todavía sin hacer — para que Analytics y CJ Affiliate puedan distinguir qué post específico generó cada clic y cada reserva, en vez de que todo caiga en "tráfico pagado" sin más detalle.</w:t>
      </w:r>
    </w:p>
    <w:p>
      <w:pPr>
        <w:spacing w:after="200"/>
        <w:jc w:val="both"/>
      </w:pPr>
      <w:r>
        <w:t xml:space="preserve">Por último, la sección de reseñas del sitio sigue oculta esperando tres testimonios reales. Con tráfico frío y pagado que ya de por sí desconfía, no tener ninguna prueba social visible en la portada es una fuga de confianza más. No hace falta nada elaborado: dos o tres comentarios reales de gente que ya usó tus guías o reservó por tu cuenta bastan para activarla.</w:t>
      </w:r>
    </w:p>
    <w:p>
      <w:pPr>
        <w:pStyle w:val="Heading1"/>
        <w:spacing w:after="200" w:before="400"/>
      </w:pPr>
      <w:r>
        <w:t xml:space="preserve">5. Fase 3 (mes 2) — No depender solo de la comisión de afiliado</w:t>
      </w:r>
    </w:p>
    <w:p>
      <w:pPr>
        <w:spacing w:after="200"/>
        <w:jc w:val="both"/>
      </w:pPr>
      <w:r>
        <w:t xml:space="preserve">Meta consolidó en 2026 sus programas de pago a creadores (anuncios in-stream, anuncios en reels y bonos de rendimiento) en un solo programa llamado Facebook Content Monetization, que paga por reels, historias, fotos y publicaciones de texto. Con 438,000 visualizaciones acumuladas de reels y una cadencia diaria ya funcionando, vale la pena aplicar formalmente en creators.facebook.com — es un ingreso que no depende de que alguien reserve un hotel, solo de que la gente vea tus videos.</w:t>
      </w:r>
    </w:p>
    <w:p>
      <w:pPr>
        <w:spacing w:after="200"/>
        <w:jc w:val="both"/>
      </w:pPr>
      <w:r>
        <w:t xml:space="preserve">El programa aparte "Creator Fast Track" (marzo 2026, pago garantizado de $1,000/mes por 3 meses) exige 100,000 seguidores en otra plataforma, así que no aplica todavía — pero es una meta realista a mediano plazo si el crecimiento de seguidores se sostiene.</w:t>
      </w:r>
    </w:p>
    <w:p>
      <w:pPr>
        <w:spacing w:after="200"/>
        <w:jc w:val="both"/>
      </w:pPr>
      <w:r>
        <w:t xml:space="preserve">El contenido de marca (branded content) con negocios dominicanos de Nueva York — agencias de viaje, restaurantes, colmados, aerolíneas de nicho — es probablemente más rápido de monetizar que la comisión de afiliado, porque no depende de que un desconocido reserve un hotel dentro de una ventana de 30 días o de una sola sesión de navegación (la cookie de Booking.com es corta). Una vez que la Fase 1 y 2 demuestren que el embudo convierte de verdad, también vale la pena evaluar un segundo afiliado de hoteles con mejor comisión o cookie más larga, para comparar contra Booking.com en vez de depender de un solo programa.</w:t>
      </w:r>
    </w:p>
    <w:p>
      <w:pPr>
        <w:pStyle w:val="Heading1"/>
        <w:spacing w:after="200" w:before="400"/>
      </w:pPr>
      <w:r>
        <w:t xml:space="preserve">6. Fase 4 (mes 2-3) — Crecimiento orgánico que no dependa de pagar por cada visita</w:t>
      </w:r>
    </w:p>
    <w:p>
      <w:pPr>
        <w:spacing w:after="200"/>
        <w:jc w:val="both"/>
      </w:pPr>
      <w:r>
        <w:t xml:space="preserve">Del tráfico histórico del sitio, entre 96% y 97% viene de Meta Ads pagado — el tráfico orgánico y directo combinado nunca pasó de 3-4%. Eso significa que hoy, si se apaga la pauta, el sitio prácticamente deja de recibir visitas. La meta de 10,000 seguidores debe convertirse en el motor de tráfico gratuito que hoy no existe.</w:t>
      </w:r>
    </w:p>
    <w:p>
      <w:pPr>
        <w:spacing w:after="200"/>
        <w:jc w:val="both"/>
      </w:pPr>
      <w:r>
        <w:t xml:space="preserve">La automatización de contenido diario (ya corregida hoy para publicar de forma confiable dos veces al día en Facebook e Instagram) y la tarea de siembra en grupos de Facebook dominicanos cada 3 días son la base correcta — hay que mantenerlas corriendo sin interrupciones. El cambio de enfoque en Meta Ads debería ser usar la pauta para amplificar los reels que ya demuestran buen desempeño orgánico, en vez de mandar tráfico frío directo a la portada como se ha hecho hasta ahora.</w:t>
      </w:r>
    </w:p>
    <w:p>
      <w:pPr>
        <w:pStyle w:val="Heading1"/>
        <w:spacing w:after="200" w:before="400"/>
      </w:pPr>
      <w:r>
        <w:t xml:space="preserve">7. Cómo saber si esto está funcionando de verdad</w:t>
      </w:r>
    </w:p>
    <w:p>
      <w:pPr>
        <w:spacing w:after="200"/>
        <w:jc w:val="both"/>
      </w:pPr>
      <w:r>
        <w:t xml:space="preserve">Seguir el número de seguidores o las vistas de página no dice si hay dinero entrando. Las métricas que hay que revisar cada semana son las que muestran intención real de compra: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2000"/>
      </w:tblGrid>
      <w:tr>
        <w:trPr>
          <w:tblHeader/>
        </w:trPr>
        <w:tc>
          <w:tcPr>
            <w:tcW w:type="dxa" w:w="3400"/>
            <w:shd w:fill="1a6b3a" w:val="clear"/>
            <w:tcMar>
              <w:top w:type="dxa" w:w="80"/>
              <w:left w:type="dxa" w:w="100"/>
              <w:bottom w:type="dxa" w:w="80"/>
              <w:right w:type="dxa" w:w="100"/>
            </w:tcMar>
          </w:tcPr>
          <w:p>
            <w:r>
              <w:rPr>
                <w:b/>
                <w:bCs/>
                <w:color w:val="FFFFFF"/>
                <w:sz w:val="20"/>
                <w:szCs w:val="20"/>
              </w:rPr>
              <w:t xml:space="preserve">Métrica real (no vanidad)</w:t>
            </w:r>
          </w:p>
        </w:tc>
        <w:tc>
          <w:tcPr>
            <w:tcW w:type="dxa" w:w="2200"/>
            <w:shd w:fill="1a6b3a" w:val="clear"/>
            <w:tcMar>
              <w:top w:type="dxa" w:w="80"/>
              <w:left w:type="dxa" w:w="100"/>
              <w:bottom w:type="dxa" w:w="80"/>
              <w:right w:type="dxa" w:w="100"/>
            </w:tcMar>
          </w:tcPr>
          <w:p>
            <w:r>
              <w:rPr>
                <w:b/>
                <w:bCs/>
                <w:color w:val="FFFFFF"/>
                <w:sz w:val="20"/>
                <w:szCs w:val="20"/>
              </w:rPr>
              <w:t xml:space="preserve">Hoy (últimos 28 días)</w:t>
            </w:r>
          </w:p>
        </w:tc>
        <w:tc>
          <w:tcPr>
            <w:tcW w:type="dxa" w:w="2000"/>
            <w:shd w:fill="1a6b3a" w:val="clear"/>
            <w:tcMar>
              <w:top w:type="dxa" w:w="80"/>
              <w:left w:type="dxa" w:w="100"/>
              <w:bottom w:type="dxa" w:w="80"/>
              <w:right w:type="dxa" w:w="100"/>
            </w:tcMar>
          </w:tcPr>
          <w:p>
            <w:r>
              <w:rPr>
                <w:b/>
                <w:bCs/>
                <w:color w:val="FFFFFF"/>
                <w:sz w:val="20"/>
                <w:szCs w:val="20"/>
              </w:rPr>
              <w:t xml:space="preserve">Meta 30 días</w:t>
            </w:r>
          </w:p>
        </w:tc>
        <w:tc>
          <w:tcPr>
            <w:tcW w:type="dxa" w:w="2000"/>
            <w:shd w:fill="1a6b3a" w:val="clear"/>
            <w:tcMar>
              <w:top w:type="dxa" w:w="80"/>
              <w:left w:type="dxa" w:w="100"/>
              <w:bottom w:type="dxa" w:w="80"/>
              <w:right w:type="dxa" w:w="100"/>
            </w:tcMar>
          </w:tcPr>
          <w:p>
            <w:r>
              <w:rPr>
                <w:b/>
                <w:bCs/>
                <w:color w:val="FFFFFF"/>
                <w:sz w:val="20"/>
                <w:szCs w:val="20"/>
              </w:rPr>
              <w:t xml:space="preserve">Meta 90 días</w:t>
            </w:r>
          </w:p>
        </w:tc>
      </w:tr>
      <w:tr>
        <w:tc>
          <w:tcPr>
            <w:tcW w:type="dxa" w:w="3400"/>
            <w:tcMar>
              <w:top w:type="dxa" w:w="80"/>
              <w:left w:type="dxa" w:w="100"/>
              <w:bottom w:type="dxa" w:w="80"/>
              <w:right w:type="dxa" w:w="100"/>
            </w:tcMar>
          </w:tcPr>
          <w:p>
            <w:r>
              <w:rPr>
                <w:b w:val="false"/>
                <w:bCs w:val="false"/>
                <w:color w:val="000000"/>
                <w:sz w:val="20"/>
                <w:szCs w:val="20"/>
              </w:rPr>
              <w:t xml:space="preserve">Eventos clic_reserva_hotel (GA4)</w:t>
            </w:r>
          </w:p>
        </w:tc>
        <w:tc>
          <w:tcPr>
            <w:tcW w:type="dxa" w:w="2200"/>
            <w:tcMar>
              <w:top w:type="dxa" w:w="80"/>
              <w:left w:type="dxa" w:w="100"/>
              <w:bottom w:type="dxa" w:w="80"/>
              <w:right w:type="dxa" w:w="100"/>
            </w:tcMar>
          </w:tcPr>
          <w:p>
            <w:r>
              <w:rPr>
                <w:b w:val="false"/>
                <w:bCs w:val="false"/>
                <w:color w:val="000000"/>
                <w:sz w:val="20"/>
                <w:szCs w:val="20"/>
              </w:rPr>
              <w:t xml:space="preserve">1</w:t>
            </w:r>
          </w:p>
        </w:tc>
        <w:tc>
          <w:tcPr>
            <w:tcW w:type="dxa" w:w="2000"/>
            <w:tcMar>
              <w:top w:type="dxa" w:w="80"/>
              <w:left w:type="dxa" w:w="100"/>
              <w:bottom w:type="dxa" w:w="80"/>
              <w:right w:type="dxa" w:w="100"/>
            </w:tcMar>
          </w:tcPr>
          <w:p>
            <w:r>
              <w:rPr>
                <w:b w:val="false"/>
                <w:bCs w:val="false"/>
                <w:color w:val="000000"/>
                <w:sz w:val="20"/>
                <w:szCs w:val="20"/>
              </w:rPr>
              <w:t xml:space="preserve">15-20</w:t>
            </w:r>
          </w:p>
        </w:tc>
        <w:tc>
          <w:tcPr>
            <w:tcW w:type="dxa" w:w="2000"/>
            <w:tcMar>
              <w:top w:type="dxa" w:w="80"/>
              <w:left w:type="dxa" w:w="100"/>
              <w:bottom w:type="dxa" w:w="80"/>
              <w:right w:type="dxa" w:w="100"/>
            </w:tcMar>
          </w:tcPr>
          <w:p>
            <w:r>
              <w:rPr>
                <w:b w:val="false"/>
                <w:bCs w:val="false"/>
                <w:color w:val="000000"/>
                <w:sz w:val="20"/>
                <w:szCs w:val="20"/>
              </w:rPr>
              <w:t xml:space="preserve">80-100</w:t>
            </w:r>
          </w:p>
        </w:tc>
      </w:tr>
      <w:tr>
        <w:tc>
          <w:tcPr>
            <w:tcW w:type="dxa" w:w="3400"/>
            <w:tcMar>
              <w:top w:type="dxa" w:w="80"/>
              <w:left w:type="dxa" w:w="100"/>
              <w:bottom w:type="dxa" w:w="80"/>
              <w:right w:type="dxa" w:w="100"/>
            </w:tcMar>
          </w:tcPr>
          <w:p>
            <w:r>
              <w:rPr>
                <w:b w:val="false"/>
                <w:bCs w:val="false"/>
                <w:color w:val="000000"/>
                <w:sz w:val="20"/>
                <w:szCs w:val="20"/>
              </w:rPr>
              <w:t xml:space="preserve">Rebote en páginas de guía individuales</w:t>
            </w:r>
          </w:p>
        </w:tc>
        <w:tc>
          <w:tcPr>
            <w:tcW w:type="dxa" w:w="2200"/>
            <w:tcMar>
              <w:top w:type="dxa" w:w="80"/>
              <w:left w:type="dxa" w:w="100"/>
              <w:bottom w:type="dxa" w:w="80"/>
              <w:right w:type="dxa" w:w="100"/>
            </w:tcMar>
          </w:tcPr>
          <w:p>
            <w:r>
              <w:rPr>
                <w:b w:val="false"/>
                <w:bCs w:val="false"/>
                <w:color w:val="000000"/>
                <w:sz w:val="20"/>
                <w:szCs w:val="20"/>
              </w:rPr>
              <w:t xml:space="preserve">20-38%</w:t>
            </w:r>
          </w:p>
        </w:tc>
        <w:tc>
          <w:tcPr>
            <w:tcW w:type="dxa" w:w="2000"/>
            <w:tcMar>
              <w:top w:type="dxa" w:w="80"/>
              <w:left w:type="dxa" w:w="100"/>
              <w:bottom w:type="dxa" w:w="80"/>
              <w:right w:type="dxa" w:w="100"/>
            </w:tcMar>
          </w:tcPr>
          <w:p>
            <w:r>
              <w:rPr>
                <w:b w:val="false"/>
                <w:bCs w:val="false"/>
                <w:color w:val="000000"/>
                <w:sz w:val="20"/>
                <w:szCs w:val="20"/>
              </w:rPr>
              <w:t xml:space="preserve">&lt; 30% sostenido</w:t>
            </w:r>
          </w:p>
        </w:tc>
        <w:tc>
          <w:tcPr>
            <w:tcW w:type="dxa" w:w="2000"/>
            <w:tcMar>
              <w:top w:type="dxa" w:w="80"/>
              <w:left w:type="dxa" w:w="100"/>
              <w:bottom w:type="dxa" w:w="80"/>
              <w:right w:type="dxa" w:w="100"/>
            </w:tcMar>
          </w:tcPr>
          <w:p>
            <w:r>
              <w:rPr>
                <w:b w:val="false"/>
                <w:bCs w:val="false"/>
                <w:color w:val="000000"/>
                <w:sz w:val="20"/>
                <w:szCs w:val="20"/>
              </w:rPr>
              <w:t xml:space="preserve">&lt; 25%</w:t>
            </w:r>
          </w:p>
        </w:tc>
      </w:tr>
      <w:tr>
        <w:tc>
          <w:tcPr>
            <w:tcW w:type="dxa" w:w="3400"/>
            <w:tcMar>
              <w:top w:type="dxa" w:w="80"/>
              <w:left w:type="dxa" w:w="100"/>
              <w:bottom w:type="dxa" w:w="80"/>
              <w:right w:type="dxa" w:w="100"/>
            </w:tcMar>
          </w:tcPr>
          <w:p>
            <w:r>
              <w:rPr>
                <w:b w:val="false"/>
                <w:bCs w:val="false"/>
                <w:color w:val="000000"/>
                <w:sz w:val="20"/>
                <w:szCs w:val="20"/>
              </w:rPr>
              <w:t xml:space="preserve">Clics reales en CJ Affiliate (Booking.com)</w:t>
            </w:r>
          </w:p>
        </w:tc>
        <w:tc>
          <w:tcPr>
            <w:tcW w:type="dxa" w:w="2200"/>
            <w:tcMar>
              <w:top w:type="dxa" w:w="80"/>
              <w:left w:type="dxa" w:w="100"/>
              <w:bottom w:type="dxa" w:w="80"/>
              <w:right w:type="dxa" w:w="100"/>
            </w:tcMar>
          </w:tcPr>
          <w:p>
            <w:r>
              <w:rPr>
                <w:b w:val="false"/>
                <w:bCs w:val="false"/>
                <w:color w:val="000000"/>
                <w:sz w:val="20"/>
                <w:szCs w:val="20"/>
              </w:rPr>
              <w:t xml:space="preserve">Por confirmar</w:t>
            </w:r>
          </w:p>
        </w:tc>
        <w:tc>
          <w:tcPr>
            <w:tcW w:type="dxa" w:w="2000"/>
            <w:tcMar>
              <w:top w:type="dxa" w:w="80"/>
              <w:left w:type="dxa" w:w="100"/>
              <w:bottom w:type="dxa" w:w="80"/>
              <w:right w:type="dxa" w:w="100"/>
            </w:tcMar>
          </w:tcPr>
          <w:p>
            <w:r>
              <w:rPr>
                <w:b w:val="false"/>
                <w:bCs w:val="false"/>
                <w:color w:val="000000"/>
                <w:sz w:val="20"/>
                <w:szCs w:val="20"/>
              </w:rPr>
              <w:t xml:space="preserve">Método de pago activo + 20 clics</w:t>
            </w:r>
          </w:p>
        </w:tc>
        <w:tc>
          <w:tcPr>
            <w:tcW w:type="dxa" w:w="2000"/>
            <w:tcMar>
              <w:top w:type="dxa" w:w="80"/>
              <w:left w:type="dxa" w:w="100"/>
              <w:bottom w:type="dxa" w:w="80"/>
              <w:right w:type="dxa" w:w="100"/>
            </w:tcMar>
          </w:tcPr>
          <w:p>
            <w:r>
              <w:rPr>
                <w:b w:val="false"/>
                <w:bCs w:val="false"/>
                <w:color w:val="000000"/>
                <w:sz w:val="20"/>
                <w:szCs w:val="20"/>
              </w:rPr>
              <w:t xml:space="preserve">Primera comisión cobrada</w:t>
            </w:r>
          </w:p>
        </w:tc>
      </w:tr>
      <w:tr>
        <w:tc>
          <w:tcPr>
            <w:tcW w:type="dxa" w:w="3400"/>
            <w:tcMar>
              <w:top w:type="dxa" w:w="80"/>
              <w:left w:type="dxa" w:w="100"/>
              <w:bottom w:type="dxa" w:w="80"/>
              <w:right w:type="dxa" w:w="100"/>
            </w:tcMar>
          </w:tcPr>
          <w:p>
            <w:r>
              <w:rPr>
                <w:b w:val="false"/>
                <w:bCs w:val="false"/>
                <w:color w:val="000000"/>
                <w:sz w:val="20"/>
                <w:szCs w:val="20"/>
              </w:rPr>
              <w:t xml:space="preserve">Gasto Meta Ads por evento clic_reserva_hotel</w:t>
            </w:r>
          </w:p>
        </w:tc>
        <w:tc>
          <w:tcPr>
            <w:tcW w:type="dxa" w:w="2200"/>
            <w:tcMar>
              <w:top w:type="dxa" w:w="80"/>
              <w:left w:type="dxa" w:w="100"/>
              <w:bottom w:type="dxa" w:w="80"/>
              <w:right w:type="dxa" w:w="100"/>
            </w:tcMar>
          </w:tcPr>
          <w:p>
            <w:r>
              <w:rPr>
                <w:b w:val="false"/>
                <w:bCs w:val="false"/>
                <w:color w:val="000000"/>
                <w:sz w:val="20"/>
                <w:szCs w:val="20"/>
              </w:rPr>
              <w:t xml:space="preserve">N/A (no se optimiza a esto)</w:t>
            </w:r>
          </w:p>
        </w:tc>
        <w:tc>
          <w:tcPr>
            <w:tcW w:type="dxa" w:w="2000"/>
            <w:tcMar>
              <w:top w:type="dxa" w:w="80"/>
              <w:left w:type="dxa" w:w="100"/>
              <w:bottom w:type="dxa" w:w="80"/>
              <w:right w:type="dxa" w:w="100"/>
            </w:tcMar>
          </w:tcPr>
          <w:p>
            <w:r>
              <w:rPr>
                <w:b w:val="false"/>
                <w:bCs w:val="false"/>
                <w:color w:val="000000"/>
                <w:sz w:val="20"/>
                <w:szCs w:val="20"/>
              </w:rPr>
              <w:t xml:space="preserve">&lt; $3</w:t>
            </w:r>
          </w:p>
        </w:tc>
        <w:tc>
          <w:tcPr>
            <w:tcW w:type="dxa" w:w="2000"/>
            <w:tcMar>
              <w:top w:type="dxa" w:w="80"/>
              <w:left w:type="dxa" w:w="100"/>
              <w:bottom w:type="dxa" w:w="80"/>
              <w:right w:type="dxa" w:w="100"/>
            </w:tcMar>
          </w:tcPr>
          <w:p>
            <w:r>
              <w:rPr>
                <w:b w:val="false"/>
                <w:bCs w:val="false"/>
                <w:color w:val="000000"/>
                <w:sz w:val="20"/>
                <w:szCs w:val="20"/>
              </w:rPr>
              <w:t xml:space="preserve">&lt; $1.50</w:t>
            </w:r>
          </w:p>
        </w:tc>
      </w:tr>
      <w:tr>
        <w:tc>
          <w:tcPr>
            <w:tcW w:type="dxa" w:w="3400"/>
            <w:tcMar>
              <w:top w:type="dxa" w:w="80"/>
              <w:left w:type="dxa" w:w="100"/>
              <w:bottom w:type="dxa" w:w="80"/>
              <w:right w:type="dxa" w:w="100"/>
            </w:tcMar>
          </w:tcPr>
          <w:p>
            <w:r>
              <w:rPr>
                <w:b w:val="false"/>
                <w:bCs w:val="false"/>
                <w:color w:val="000000"/>
                <w:sz w:val="20"/>
                <w:szCs w:val="20"/>
              </w:rPr>
              <w:t xml:space="preserve">Seguidores Facebook / Instagram</w:t>
            </w:r>
          </w:p>
        </w:tc>
        <w:tc>
          <w:tcPr>
            <w:tcW w:type="dxa" w:w="2200"/>
            <w:tcMar>
              <w:top w:type="dxa" w:w="80"/>
              <w:left w:type="dxa" w:w="100"/>
              <w:bottom w:type="dxa" w:w="80"/>
              <w:right w:type="dxa" w:w="100"/>
            </w:tcMar>
          </w:tcPr>
          <w:p>
            <w:r>
              <w:rPr>
                <w:b w:val="false"/>
                <w:bCs w:val="false"/>
                <w:color w:val="000000"/>
                <w:sz w:val="20"/>
                <w:szCs w:val="20"/>
              </w:rPr>
              <w:t xml:space="preserve">3,800 / 2,400</w:t>
            </w:r>
          </w:p>
        </w:tc>
        <w:tc>
          <w:tcPr>
            <w:tcW w:type="dxa" w:w="2000"/>
            <w:tcMar>
              <w:top w:type="dxa" w:w="80"/>
              <w:left w:type="dxa" w:w="100"/>
              <w:bottom w:type="dxa" w:w="80"/>
              <w:right w:type="dxa" w:w="100"/>
            </w:tcMar>
          </w:tcPr>
          <w:p>
            <w:r>
              <w:rPr>
                <w:b w:val="false"/>
                <w:bCs w:val="false"/>
                <w:color w:val="000000"/>
                <w:sz w:val="20"/>
                <w:szCs w:val="20"/>
              </w:rPr>
              <w:t xml:space="preserve">4,300 / 2,700</w:t>
            </w:r>
          </w:p>
        </w:tc>
        <w:tc>
          <w:tcPr>
            <w:tcW w:type="dxa" w:w="2000"/>
            <w:tcMar>
              <w:top w:type="dxa" w:w="80"/>
              <w:left w:type="dxa" w:w="100"/>
              <w:bottom w:type="dxa" w:w="80"/>
              <w:right w:type="dxa" w:w="100"/>
            </w:tcMar>
          </w:tcPr>
          <w:p>
            <w:r>
              <w:rPr>
                <w:b w:val="false"/>
                <w:bCs w:val="false"/>
                <w:color w:val="000000"/>
                <w:sz w:val="20"/>
                <w:szCs w:val="20"/>
              </w:rPr>
              <w:t xml:space="preserve">6,000 / 3,500</w:t>
            </w:r>
          </w:p>
        </w:tc>
      </w:tr>
    </w:tbl>
    <w:p>
      <w:pPr>
        <w:spacing w:after="200"/>
      </w:pPr>
    </w:p>
    <w:p>
      <w:pPr>
        <w:pStyle w:val="Heading1"/>
        <w:spacing w:after="200" w:before="400"/>
      </w:pPr>
      <w:r>
        <w:t xml:space="preserve">8. Resumen del primer mes</w:t>
      </w:r>
    </w:p>
    <w:p>
      <w:pPr>
        <w:spacing w:after="200"/>
        <w:jc w:val="both"/>
      </w:pPr>
      <w:r>
        <w:t xml:space="preserve">Semana 1: Venul confirma método de pago en CJ Affiliate y estado real del presupuesto de Meta Ads (Fase 0). En paralelo, se configura el evento de conversión clic_reserva_hotel y se ajustan ubicaciones y geografía de la campaña activa (Fase 1).</w:t>
      </w:r>
    </w:p>
    <w:p>
      <w:pPr>
        <w:spacing w:after="200"/>
        <w:jc w:val="both"/>
      </w:pPr>
      <w:r>
        <w:t xml:space="preserve">Semana 2: se corrigen los destinos de los anuncios para que cada uno lleve a su guía específica, y se agregan UTM a todo lo que se publica en redes (Fase 2).</w:t>
      </w:r>
    </w:p>
    <w:p>
      <w:pPr>
        <w:spacing w:after="200"/>
        <w:jc w:val="both"/>
      </w:pPr>
      <w:r>
        <w:t xml:space="preserve">Semana 3: se reúnen 2-3 testimonios reales y se activa la sección de reseñas; se aplica al programa de Facebook Content Monetization (Fase 2 y 3).</w:t>
      </w:r>
    </w:p>
    <w:p>
      <w:pPr>
        <w:spacing w:after="200"/>
        <w:jc w:val="both"/>
      </w:pPr>
      <w:r>
        <w:t xml:space="preserve">Semana 4: primera revisión de la tabla de KPIs con datos de 3 semanas del embudo corregido — con esto se decide si vale la pena volver a subir el presupuesto de Meta Ads o seguir optimizando antes de gastar más.</w:t>
      </w:r>
    </w:p>
    <w:p>
      <w:pPr>
        <w:spacing w:before="400"/>
      </w:pPr>
    </w:p>
    <w:p>
      <w:r>
        <w:rPr>
          <w:i/>
          <w:iCs/>
          <w:color w:val="555555"/>
          <w:sz w:val="18"/>
          <w:szCs w:val="18"/>
        </w:rPr>
        <w:t xml:space="preserve">Todos los números de este plan salen de datos reales revisados en vivo el 12 de agosto de 2026: Google Analytics (propiedad 541622169), Meta Ads Manager (cuenta 290012163), Meta Business Suite y la bitácora del proyecto (quisqueya-travel-memoria.md).</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2026-08-12T01:09:11.330Z</dcterms:created>
  <dcterms:modified xsi:type="dcterms:W3CDTF">2026-08-12T01:09:11.330Z</dcterms:modified>
</cp:coreProperties>
</file>

<file path=docProps/custom.xml><?xml version="1.0" encoding="utf-8"?>
<Properties xmlns="http://schemas.openxmlformats.org/officeDocument/2006/custom-properties" xmlns:vt="http://schemas.openxmlformats.org/officeDocument/2006/docPropsVTypes"/>
</file>