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777777"/>
          <w:sz w:val="22"/>
          <w:szCs w:val="22"/>
        </w:rPr>
        <w:t xml:space="preserve">PROJETO INTEGRADOR — CURSO DE ANÁLISE E DESENVOLVIMENTO DE SISTEMAS</w:t>
      </w:r>
    </w:p>
    <w:p>
      <w:pPr>
        <w:spacing w:after="100" w:before="200"/>
        <w:jc w:val="center"/>
      </w:pPr>
      <w:r>
        <w:rPr>
          <w:b/>
          <w:bCs/>
          <w:color w:val="1B2A4A"/>
          <w:sz w:val="60"/>
          <w:szCs w:val="60"/>
        </w:rPr>
        <w:t xml:space="preserve">VENUO</w:t>
      </w:r>
    </w:p>
    <w:p>
      <w:pPr>
        <w:spacing w:after="300"/>
        <w:jc w:val="center"/>
      </w:pPr>
      <w:r>
        <w:rPr>
          <w:b/>
          <w:bCs/>
          <w:color w:val="E8722C"/>
          <w:sz w:val="28"/>
          <w:szCs w:val="28"/>
        </w:rPr>
        <w:t xml:space="preserve">Plano de Sprints (Kanban), EAP e Diretrizes de Execução</w:t>
      </w:r>
    </w:p>
    <w:p>
      <w:pPr>
        <w:spacing w:after="60"/>
        <w:jc w:val="center"/>
      </w:pPr>
      <w:r>
        <w:rPr>
          <w:color w:val="333333"/>
          <w:sz w:val="22"/>
          <w:szCs w:val="22"/>
        </w:rPr>
        <w:t xml:space="preserve">Período: 16/09/2026 a 15/11/2026</w:t>
      </w:r>
    </w:p>
    <w:p>
      <w:pPr>
        <w:spacing w:after="60"/>
        <w:jc w:val="center"/>
      </w:pPr>
      <w:r>
        <w:rPr>
          <w:color w:val="555555"/>
          <w:sz w:val="20"/>
          <w:szCs w:val="20"/>
        </w:rPr>
        <w:t xml:space="preserve">Orientador: Prof. Arthur Mariano L. Neto</w:t>
      </w:r>
    </w:p>
    <w:p>
      <w:pPr>
        <w:spacing w:after="400"/>
        <w:jc w:val="center"/>
      </w:pPr>
      <w:r>
        <w:rPr>
          <w:i/>
          <w:iCs/>
          <w:color w:val="777777"/>
          <w:sz w:val="18"/>
          <w:szCs w:val="18"/>
        </w:rPr>
        <w:t xml:space="preserve">Base: TAP (Termo de Abertura do Projeto), Apresentação de Escopo Técnico e Especificação Técnica do Algoritmo de Recomendação</w:t>
      </w:r>
    </w:p>
    <w:p>
      <w:r>
        <w:br w:type="page"/>
      </w:r>
    </w:p>
    <w:p>
      <w:pPr>
        <w:pStyle w:val="Heading1"/>
        <w:pBdr>
          <w:bottom w:val="single" w:color="E8722C" w:sz="12" w:space="4"/>
        </w:pBdr>
        <w:spacing w:after="160" w:before="320"/>
      </w:pPr>
      <w:r>
        <w:rPr>
          <w:b/>
          <w:bCs/>
          <w:color w:val="1B2A4A"/>
          <w:sz w:val="30"/>
          <w:szCs w:val="30"/>
        </w:rPr>
        <w:t xml:space="preserve">1. Introdução e Contexto</w:t>
      </w:r>
    </w:p>
    <w:p>
      <w:pPr>
        <w:spacing w:after="120"/>
      </w:pPr>
      <w:r>
        <w:rPr>
          <w:sz w:val="21"/>
          <w:szCs w:val="21"/>
        </w:rPr>
        <w:t xml:space="preserve">Este documento organiza a fase de desenvolvimento de código do projeto Venuo em um plano de sprints semanais, de 16/09/2026 a 15/11/2026, adotando o método Kanban para o fluxo de trabalho diário e os princípios do PMBOK (Guia PMBOK) para o gerenciamento do projeto como um todo. Ele parte de três documentos já produzidos pela equipe: o TAP (Termo de Abertura do Projeto), a apresentação de Escopo Técnico do 2º período e a Especificação Técnica do Algoritmo de Recomendação.</w:t>
      </w:r>
    </w:p>
    <w:p>
      <w:pPr>
        <w:spacing w:after="120"/>
      </w:pPr>
      <w:r>
        <w:rPr>
          <w:sz w:val="21"/>
          <w:szCs w:val="21"/>
        </w:rPr>
        <w:t xml:space="preserve">Até este ponto, o projeto entregou um protótipo de alta fidelidade no Figma. A partir de agora, a equipe passa a entregar código — uma simulação funcional com Python/FastAPI no back-end, PostgreSQL via Docker no banco de dados, HTML/CSS/JavaScript no front-end e GitHub para versionamento, exatamente como definido na apresentação de escopo técnico. A primeira entrega de código está marcada para a próxima quarta-feira, 23/09/2026: a homepage funcional.</w:t>
      </w:r>
    </w:p>
    <w:p>
      <w:pPr>
        <w:spacing w:after="120"/>
      </w:pPr>
      <w:r>
        <w:rPr>
          <w:sz w:val="21"/>
          <w:szCs w:val="21"/>
        </w:rPr>
        <w:t xml:space="preserve">O documento cobre: (i) a governança do projeto à luz do PMBOK; (ii) a Estrutura Analítica do Projeto (EAP/WBS); (iii) a distribuição da equipe por frentes de trabalho (sem nomeação individual, a ser decidida a cada sprint); (iv) a recomendação de domínio; (v) as diretrizes de uso do GitHub; (vi) a estrutura do quadro Kanban; e (vii) o cronograma sprint a sprint até a demonstração final.</w:t>
      </w:r>
    </w:p>
    <w:p>
      <w:pPr>
        <w:pStyle w:val="Heading1"/>
        <w:pBdr>
          <w:bottom w:val="single" w:color="E8722C" w:sz="12" w:space="4"/>
        </w:pBdr>
        <w:spacing w:after="160" w:before="320"/>
      </w:pPr>
      <w:r>
        <w:rPr>
          <w:b/>
          <w:bCs/>
          <w:color w:val="1B2A4A"/>
          <w:sz w:val="30"/>
          <w:szCs w:val="30"/>
        </w:rPr>
        <w:t xml:space="preserve">2. Governança do Projeto (à luz do PMBOK)</w:t>
      </w:r>
    </w:p>
    <w:p>
      <w:pPr>
        <w:spacing w:after="120"/>
      </w:pPr>
      <w:r>
        <w:rPr>
          <w:sz w:val="21"/>
          <w:szCs w:val="21"/>
        </w:rPr>
        <w:t xml:space="preserve">O Guia PMBOK organiza o trabalho em grupos de processos. Como o TAP já formaliza a Iniciação, este plano cobre principalmente Planejamento, Execução e Monitoramento &amp; Controle, com o Encerramento previsto para a última semana.</w:t>
      </w:r>
    </w:p>
    <w:p>
      <w:pPr>
        <w:spacing w:after="80" w:before="180"/>
      </w:pPr>
      <w:r>
        <w:rPr>
          <w:b/>
          <w:bCs/>
          <w:color w:val="1B2A4A"/>
          <w:sz w:val="21"/>
          <w:szCs w:val="21"/>
        </w:rPr>
        <w:t xml:space="preserve">2.1 Mapeamento aos grupos de processos</w:t>
      </w:r>
    </w:p>
    <w:p>
      <w:pPr>
        <w:pStyle w:val="ListParagraph"/>
        <w:numPr>
          <w:ilvl w:val="0"/>
          <w:numId w:val="2"/>
        </w:numPr>
        <w:spacing w:after="60"/>
      </w:pPr>
      <w:r>
        <w:rPr>
          <w:sz w:val="21"/>
          <w:szCs w:val="21"/>
        </w:rPr>
        <w:t xml:space="preserve">Planejamento: este documento (EAP, cronograma de sprints, distribuição por frentes) e o replanejamento leve feito a cada segunda-feira.</w:t>
      </w:r>
    </w:p>
    <w:p>
      <w:pPr>
        <w:pStyle w:val="ListParagraph"/>
        <w:numPr>
          <w:ilvl w:val="0"/>
          <w:numId w:val="2"/>
        </w:numPr>
        <w:spacing w:after="60"/>
      </w:pPr>
      <w:r>
        <w:rPr>
          <w:sz w:val="21"/>
          <w:szCs w:val="21"/>
        </w:rPr>
        <w:t xml:space="preserve">Execução: desenvolvimento diário conduzido pelo quadro Kanban, com integração contínua via GitHub.</w:t>
      </w:r>
    </w:p>
    <w:p>
      <w:pPr>
        <w:pStyle w:val="ListParagraph"/>
        <w:numPr>
          <w:ilvl w:val="0"/>
          <w:numId w:val="2"/>
        </w:numPr>
        <w:spacing w:after="60"/>
      </w:pPr>
      <w:r>
        <w:rPr>
          <w:sz w:val="21"/>
          <w:szCs w:val="21"/>
        </w:rPr>
        <w:t xml:space="preserve">Monitoramento e Controle: reunião semanal de segunda-feira, em que a equipe revisa o quadro, atualiza o TAP e ajusta prioridades da sprint corrente.</w:t>
      </w:r>
    </w:p>
    <w:p>
      <w:pPr>
        <w:pStyle w:val="ListParagraph"/>
        <w:numPr>
          <w:ilvl w:val="0"/>
          <w:numId w:val="2"/>
        </w:numPr>
        <w:spacing w:after="60"/>
      </w:pPr>
      <w:r>
        <w:rPr>
          <w:sz w:val="21"/>
          <w:szCs w:val="21"/>
        </w:rPr>
        <w:t xml:space="preserve">Encerramento: sprint final (12 a 15/11/2026), com ensaio da demonstração, consolidação da documentação e entrega à banca de especialistas.</w:t>
      </w:r>
    </w:p>
    <w:p>
      <w:pPr>
        <w:spacing w:after="80" w:before="180"/>
      </w:pPr>
      <w:r>
        <w:rPr>
          <w:b/>
          <w:bCs/>
          <w:color w:val="1B2A4A"/>
          <w:sz w:val="21"/>
          <w:szCs w:val="21"/>
        </w:rPr>
        <w:t xml:space="preserve">2.2 Ritos semanais</w:t>
      </w:r>
    </w:p>
    <w:p>
      <w:pPr>
        <w:pStyle w:val="ListParagraph"/>
        <w:numPr>
          <w:ilvl w:val="0"/>
          <w:numId w:val="2"/>
        </w:numPr>
        <w:spacing w:after="60"/>
      </w:pPr>
      <w:r>
        <w:rPr>
          <w:sz w:val="21"/>
          <w:szCs w:val="21"/>
        </w:rPr>
        <w:t xml:space="preserve">Segunda-feira — Planejamento/Replanejamento: revisão do backlog, seleção dos itens da semana, atualização da documentação (TAP e especificação do algoritmo).</w:t>
      </w:r>
    </w:p>
    <w:p>
      <w:pPr>
        <w:pStyle w:val="ListParagraph"/>
        <w:numPr>
          <w:ilvl w:val="0"/>
          <w:numId w:val="2"/>
        </w:numPr>
        <w:spacing w:after="60"/>
      </w:pPr>
      <w:r>
        <w:rPr>
          <w:sz w:val="21"/>
          <w:szCs w:val="21"/>
        </w:rPr>
        <w:t xml:space="preserve">Quarta-feira — Ponto de entrega: incremento de código funcional, demonstrável, disponível no repositório.</w:t>
      </w:r>
    </w:p>
    <w:p>
      <w:pPr>
        <w:pStyle w:val="ListParagraph"/>
        <w:numPr>
          <w:ilvl w:val="0"/>
          <w:numId w:val="2"/>
        </w:numPr>
        <w:spacing w:after="60"/>
      </w:pPr>
      <w:r>
        <w:rPr>
          <w:sz w:val="21"/>
          <w:szCs w:val="21"/>
        </w:rPr>
        <w:t xml:space="preserve">Sexta-feira (recomendado) — Checkpoint curto: identificação de impedimentos antes do fim de semana.</w:t>
      </w:r>
    </w:p>
    <w:p>
      <w:pPr>
        <w:spacing w:after="80" w:before="180"/>
      </w:pPr>
      <w:r>
        <w:rPr>
          <w:b/>
          <w:bCs/>
          <w:color w:val="1B2A4A"/>
          <w:sz w:val="21"/>
          <w:szCs w:val="21"/>
        </w:rPr>
        <w:t xml:space="preserve">2.3 Papel do orientador e da banca</w:t>
      </w:r>
    </w:p>
    <w:p>
      <w:pPr>
        <w:spacing w:after="120"/>
      </w:pPr>
      <w:r>
        <w:rPr>
          <w:sz w:val="21"/>
          <w:szCs w:val="21"/>
        </w:rPr>
        <w:t xml:space="preserve">O professor orientador Arthur Mariano atua como stakeholder de aprovação: recomenda-se que ele valide o incremento entregue a cada quarta-feira ou receba um resumo assíncrono. A banca de especialistas é o stakeholder de aceite final, na demonstração de 15/11/2026.</w:t>
      </w:r>
    </w:p>
    <w:p>
      <w:pPr>
        <w:pStyle w:val="Heading1"/>
        <w:pBdr>
          <w:bottom w:val="single" w:color="E8722C" w:sz="12" w:space="4"/>
        </w:pBdr>
        <w:spacing w:after="160" w:before="320"/>
      </w:pPr>
      <w:r>
        <w:rPr>
          <w:b/>
          <w:bCs/>
          <w:color w:val="1B2A4A"/>
          <w:sz w:val="30"/>
          <w:szCs w:val="30"/>
        </w:rPr>
        <w:t xml:space="preserve">3. Estrutura Analítica do Projeto (EAP / WBS)</w:t>
      </w:r>
    </w:p>
    <w:p>
      <w:pPr>
        <w:spacing w:after="120"/>
      </w:pPr>
      <w:r>
        <w:rPr>
          <w:sz w:val="21"/>
          <w:szCs w:val="21"/>
        </w:rPr>
        <w:t xml:space="preserve">A EAP decompõe o escopo técnico (TAP + Escopo Técnico + Especificação do Algoritmo) em pacotes de trabalho. Cada pacote é referenciado no cronograma de sprints da seção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00"/>
      </w:tblGrid>
      <w:tr>
        <w:tc>
          <w:tcPr>
            <w:tcW w:type="dxa" w:w="1200"/>
            <w:shd w:fill="1B2A4A" w:val="clear"/>
            <w:tcMar>
              <w:top w:type="dxa" w:w="80"/>
              <w:left w:type="dxa" w:w="100"/>
              <w:bottom w:type="dxa" w:w="80"/>
              <w:right w:type="dxa" w:w="100"/>
            </w:tcMar>
          </w:tcPr>
          <w:p>
            <w:r>
              <w:rPr>
                <w:b/>
                <w:bCs/>
                <w:color w:val="FFFFFF"/>
                <w:sz w:val="19"/>
                <w:szCs w:val="19"/>
              </w:rPr>
              <w:t xml:space="preserve">EAP</w:t>
            </w:r>
          </w:p>
        </w:tc>
        <w:tc>
          <w:tcPr>
            <w:tcW w:type="dxa" w:w="4200"/>
            <w:shd w:fill="1B2A4A" w:val="clear"/>
            <w:tcMar>
              <w:top w:type="dxa" w:w="80"/>
              <w:left w:type="dxa" w:w="100"/>
              <w:bottom w:type="dxa" w:w="80"/>
              <w:right w:type="dxa" w:w="100"/>
            </w:tcMar>
          </w:tcPr>
          <w:p>
            <w:r>
              <w:rPr>
                <w:b/>
                <w:bCs/>
                <w:color w:val="FFFFFF"/>
                <w:sz w:val="19"/>
                <w:szCs w:val="19"/>
              </w:rPr>
              <w:t xml:space="preserve">Entregável / Pacote de trabalho</w:t>
            </w:r>
          </w:p>
        </w:tc>
        <w:tc>
          <w:tcPr>
            <w:tcW w:type="dxa" w:w="4200"/>
            <w:shd w:fill="1B2A4A" w:val="clear"/>
            <w:tcMar>
              <w:top w:type="dxa" w:w="80"/>
              <w:left w:type="dxa" w:w="100"/>
              <w:bottom w:type="dxa" w:w="80"/>
              <w:right w:type="dxa" w:w="100"/>
            </w:tcMar>
          </w:tcPr>
          <w:p>
            <w:r>
              <w:rPr>
                <w:b/>
                <w:bCs/>
                <w:color w:val="FFFFFF"/>
                <w:sz w:val="19"/>
                <w:szCs w:val="19"/>
              </w:rPr>
              <w:t xml:space="preserve">Descrição resumida</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1</w:t>
            </w:r>
          </w:p>
        </w:tc>
        <w:tc>
          <w:tcPr>
            <w:tcW w:type="dxa" w:w="4200"/>
            <w:shd w:fill="FFFFFF" w:val="clear"/>
            <w:tcMar>
              <w:top w:type="dxa" w:w="80"/>
              <w:left w:type="dxa" w:w="100"/>
              <w:bottom w:type="dxa" w:w="80"/>
              <w:right w:type="dxa" w:w="100"/>
            </w:tcMar>
          </w:tcPr>
          <w:p>
            <w:r>
              <w:rPr>
                <w:b/>
                <w:bCs/>
                <w:color w:val="1A1A1A"/>
                <w:sz w:val="19"/>
                <w:szCs w:val="19"/>
              </w:rPr>
              <w:t xml:space="preserve">Gerenciamento do Projeto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Governança, cerimônias semanais, atualização do TAP, controle do quadro Kanban.</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1.1</w:t>
            </w:r>
          </w:p>
        </w:tc>
        <w:tc>
          <w:tcPr>
            <w:tcW w:type="dxa" w:w="4200"/>
            <w:shd w:fill="F2F2F2" w:val="clear"/>
            <w:tcMar>
              <w:top w:type="dxa" w:w="80"/>
              <w:left w:type="dxa" w:w="100"/>
              <w:bottom w:type="dxa" w:w="80"/>
              <w:right w:type="dxa" w:w="100"/>
            </w:tcMar>
          </w:tcPr>
          <w:p>
            <w:r>
              <w:rPr>
                <w:b/>
                <w:bCs/>
                <w:color w:val="1A1A1A"/>
                <w:sz w:val="19"/>
                <w:szCs w:val="19"/>
              </w:rPr>
              <w:t xml:space="preserve">Governança e cerimônias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Reunião semanal (segunda-feira) de planejamento/replanejamento e atualização de documentação.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1.2</w:t>
            </w:r>
          </w:p>
        </w:tc>
        <w:tc>
          <w:tcPr>
            <w:tcW w:type="dxa" w:w="4200"/>
            <w:shd w:fill="FFFFFF" w:val="clear"/>
            <w:tcMar>
              <w:top w:type="dxa" w:w="80"/>
              <w:left w:type="dxa" w:w="100"/>
              <w:bottom w:type="dxa" w:w="80"/>
              <w:right w:type="dxa" w:w="100"/>
            </w:tcMar>
          </w:tcPr>
          <w:p>
            <w:r>
              <w:rPr>
                <w:b/>
                <w:bCs/>
                <w:color w:val="1A1A1A"/>
                <w:sz w:val="19"/>
                <w:szCs w:val="19"/>
              </w:rPr>
              <w:t xml:space="preserve">Controle e métricas</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Quadro Kanban, WIP limits, lead time, registro de impedimentos.</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2</w:t>
            </w:r>
          </w:p>
        </w:tc>
        <w:tc>
          <w:tcPr>
            <w:tcW w:type="dxa" w:w="4200"/>
            <w:shd w:fill="F2F2F2" w:val="clear"/>
            <w:tcMar>
              <w:top w:type="dxa" w:w="80"/>
              <w:left w:type="dxa" w:w="100"/>
              <w:bottom w:type="dxa" w:w="80"/>
              <w:right w:type="dxa" w:w="100"/>
            </w:tcMar>
          </w:tcPr>
          <w:p>
            <w:r>
              <w:rPr>
                <w:b/>
                <w:bCs/>
                <w:color w:val="1A1A1A"/>
                <w:sz w:val="19"/>
                <w:szCs w:val="19"/>
              </w:rPr>
              <w:t xml:space="preserve">Infraestrutura &amp; DevOps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Domínio, ambiente containerizado, versionamento e integrações externas.</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2.1</w:t>
            </w:r>
          </w:p>
        </w:tc>
        <w:tc>
          <w:tcPr>
            <w:tcW w:type="dxa" w:w="4200"/>
            <w:shd w:fill="FFFFFF" w:val="clear"/>
            <w:tcMar>
              <w:top w:type="dxa" w:w="80"/>
              <w:left w:type="dxa" w:w="100"/>
              <w:bottom w:type="dxa" w:w="80"/>
              <w:right w:type="dxa" w:w="100"/>
            </w:tcMar>
          </w:tcPr>
          <w:p>
            <w:r>
              <w:rPr>
                <w:b/>
                <w:bCs/>
                <w:color w:val="1A1A1A"/>
                <w:sz w:val="19"/>
                <w:szCs w:val="19"/>
              </w:rPr>
              <w:t xml:space="preserve">Domínio e hospedagem</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Escolha e aquisição do domínio (decisão a ser tomada em reunião de segunda-feira) e configuração de hospedagem/deploy.</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2.1b</w:t>
            </w:r>
          </w:p>
        </w:tc>
        <w:tc>
          <w:tcPr>
            <w:tcW w:type="dxa" w:w="4200"/>
            <w:shd w:fill="F2F2F2" w:val="clear"/>
            <w:tcMar>
              <w:top w:type="dxa" w:w="80"/>
              <w:left w:type="dxa" w:w="100"/>
              <w:bottom w:type="dxa" w:w="80"/>
              <w:right w:type="dxa" w:w="100"/>
            </w:tcMar>
          </w:tcPr>
          <w:p>
            <w:r>
              <w:rPr>
                <w:b/>
                <w:bCs/>
                <w:color w:val="1A1A1A"/>
                <w:sz w:val="19"/>
                <w:szCs w:val="19"/>
              </w:rPr>
              <w:t xml:space="preserve">Ambiente Docker compartilhado</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Docker Compose local (API + banco) igual para todos os integrantes — prioridade desta semana.</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2.2</w:t>
            </w:r>
          </w:p>
        </w:tc>
        <w:tc>
          <w:tcPr>
            <w:tcW w:type="dxa" w:w="4200"/>
            <w:shd w:fill="FFFFFF" w:val="clear"/>
            <w:tcMar>
              <w:top w:type="dxa" w:w="80"/>
              <w:left w:type="dxa" w:w="100"/>
              <w:bottom w:type="dxa" w:w="80"/>
              <w:right w:type="dxa" w:w="100"/>
            </w:tcMar>
          </w:tcPr>
          <w:p>
            <w:r>
              <w:rPr>
                <w:b/>
                <w:bCs/>
                <w:color w:val="1A1A1A"/>
                <w:sz w:val="19"/>
                <w:szCs w:val="19"/>
              </w:rPr>
              <w:t xml:space="preserve">Ambiente containerizado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Docker + PostgreSQL, variáveis de ambiente, scripts de subida local.</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2.3</w:t>
            </w:r>
          </w:p>
        </w:tc>
        <w:tc>
          <w:tcPr>
            <w:tcW w:type="dxa" w:w="4200"/>
            <w:shd w:fill="F2F2F2" w:val="clear"/>
            <w:tcMar>
              <w:top w:type="dxa" w:w="80"/>
              <w:left w:type="dxa" w:w="100"/>
              <w:bottom w:type="dxa" w:w="80"/>
              <w:right w:type="dxa" w:w="100"/>
            </w:tcMar>
          </w:tcPr>
          <w:p>
            <w:r>
              <w:rPr>
                <w:b/>
                <w:bCs/>
                <w:color w:val="1A1A1A"/>
                <w:sz w:val="19"/>
                <w:szCs w:val="19"/>
              </w:rPr>
              <w:t xml:space="preserve">Versionamento (GitHub)</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Estrutura de branches, padrão de commits, Pull Requests, issues.</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2.4</w:t>
            </w:r>
          </w:p>
        </w:tc>
        <w:tc>
          <w:tcPr>
            <w:tcW w:type="dxa" w:w="4200"/>
            <w:shd w:fill="FFFFFF" w:val="clear"/>
            <w:tcMar>
              <w:top w:type="dxa" w:w="80"/>
              <w:left w:type="dxa" w:w="100"/>
              <w:bottom w:type="dxa" w:w="80"/>
              <w:right w:type="dxa" w:w="100"/>
            </w:tcMar>
          </w:tcPr>
          <w:p>
            <w:r>
              <w:rPr>
                <w:b/>
                <w:bCs/>
                <w:color w:val="1A1A1A"/>
                <w:sz w:val="19"/>
                <w:szCs w:val="19"/>
              </w:rPr>
              <w:t xml:space="preserve">Integração Google Maps API</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Ativação, monitoramento de cota (US$200 free tier) via Google Cloud Console.</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3</w:t>
            </w:r>
          </w:p>
        </w:tc>
        <w:tc>
          <w:tcPr>
            <w:tcW w:type="dxa" w:w="4200"/>
            <w:shd w:fill="F2F2F2" w:val="clear"/>
            <w:tcMar>
              <w:top w:type="dxa" w:w="80"/>
              <w:left w:type="dxa" w:w="100"/>
              <w:bottom w:type="dxa" w:w="80"/>
              <w:right w:type="dxa" w:w="100"/>
            </w:tcMar>
          </w:tcPr>
          <w:p>
            <w:r>
              <w:rPr>
                <w:b/>
                <w:bCs/>
                <w:color w:val="1A1A1A"/>
                <w:sz w:val="19"/>
                <w:szCs w:val="19"/>
              </w:rPr>
              <w:t xml:space="preserve">Banco de Dados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Modelagem e persistência dos dados da plataforma.</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3.1</w:t>
            </w:r>
          </w:p>
        </w:tc>
        <w:tc>
          <w:tcPr>
            <w:tcW w:type="dxa" w:w="4200"/>
            <w:shd w:fill="FFFFFF" w:val="clear"/>
            <w:tcMar>
              <w:top w:type="dxa" w:w="80"/>
              <w:left w:type="dxa" w:w="100"/>
              <w:bottom w:type="dxa" w:w="80"/>
              <w:right w:type="dxa" w:w="100"/>
            </w:tcMar>
          </w:tcPr>
          <w:p>
            <w:r>
              <w:rPr>
                <w:b/>
                <w:bCs/>
                <w:color w:val="1A1A1A"/>
                <w:sz w:val="19"/>
                <w:szCs w:val="19"/>
              </w:rPr>
              <w:t xml:space="preserve">Modelagem (DER)</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Entidades: usuários, estabelecimentos, categorias, favoritos, patrocínios, histórico.</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3.2</w:t>
            </w:r>
          </w:p>
        </w:tc>
        <w:tc>
          <w:tcPr>
            <w:tcW w:type="dxa" w:w="4200"/>
            <w:shd w:fill="F2F2F2" w:val="clear"/>
            <w:tcMar>
              <w:top w:type="dxa" w:w="80"/>
              <w:left w:type="dxa" w:w="100"/>
              <w:bottom w:type="dxa" w:w="80"/>
              <w:right w:type="dxa" w:w="100"/>
            </w:tcMar>
          </w:tcPr>
          <w:p>
            <w:r>
              <w:rPr>
                <w:b/>
                <w:bCs/>
                <w:color w:val="1A1A1A"/>
                <w:sz w:val="19"/>
                <w:szCs w:val="19"/>
              </w:rPr>
              <w:t xml:space="preserve">Migrações e massa de dados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Scripts de criação de schema e seed de estabelecimentos da RMG para testes.</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4</w:t>
            </w:r>
          </w:p>
        </w:tc>
        <w:tc>
          <w:tcPr>
            <w:tcW w:type="dxa" w:w="4200"/>
            <w:shd w:fill="FFFFFF" w:val="clear"/>
            <w:tcMar>
              <w:top w:type="dxa" w:w="80"/>
              <w:left w:type="dxa" w:w="100"/>
              <w:bottom w:type="dxa" w:w="80"/>
              <w:right w:type="dxa" w:w="100"/>
            </w:tcMar>
          </w:tcPr>
          <w:p>
            <w:r>
              <w:rPr>
                <w:b/>
                <w:bCs/>
                <w:color w:val="1A1A1A"/>
                <w:sz w:val="19"/>
                <w:szCs w:val="19"/>
              </w:rPr>
              <w:t xml:space="preserve">Back-end (API)</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Construção da API que sustenta a simulação funcional.</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4.1</w:t>
            </w:r>
          </w:p>
        </w:tc>
        <w:tc>
          <w:tcPr>
            <w:tcW w:type="dxa" w:w="4200"/>
            <w:shd w:fill="F2F2F2" w:val="clear"/>
            <w:tcMar>
              <w:top w:type="dxa" w:w="80"/>
              <w:left w:type="dxa" w:w="100"/>
              <w:bottom w:type="dxa" w:w="80"/>
              <w:right w:type="dxa" w:w="100"/>
            </w:tcMar>
          </w:tcPr>
          <w:p>
            <w:r>
              <w:rPr>
                <w:b/>
                <w:bCs/>
                <w:color w:val="1A1A1A"/>
                <w:sz w:val="19"/>
                <w:szCs w:val="19"/>
              </w:rPr>
              <w:t xml:space="preserve">Setup FastAPI</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Estrutura do projeto, health-check, padronização de respostas JSON.</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4.2</w:t>
            </w:r>
          </w:p>
        </w:tc>
        <w:tc>
          <w:tcPr>
            <w:tcW w:type="dxa" w:w="4200"/>
            <w:shd w:fill="FFFFFF" w:val="clear"/>
            <w:tcMar>
              <w:top w:type="dxa" w:w="80"/>
              <w:left w:type="dxa" w:w="100"/>
              <w:bottom w:type="dxa" w:w="80"/>
              <w:right w:type="dxa" w:w="100"/>
            </w:tcMar>
          </w:tcPr>
          <w:p>
            <w:r>
              <w:rPr>
                <w:b/>
                <w:bCs/>
                <w:color w:val="1A1A1A"/>
                <w:sz w:val="19"/>
                <w:szCs w:val="19"/>
              </w:rPr>
              <w:t xml:space="preserve">Autenticação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Cadastro B2C obrigatório, login, login social e cadastro B2B (baixa prioridade).</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4.3</w:t>
            </w:r>
          </w:p>
        </w:tc>
        <w:tc>
          <w:tcPr>
            <w:tcW w:type="dxa" w:w="4200"/>
            <w:shd w:fill="F2F2F2" w:val="clear"/>
            <w:tcMar>
              <w:top w:type="dxa" w:w="80"/>
              <w:left w:type="dxa" w:w="100"/>
              <w:bottom w:type="dxa" w:w="80"/>
              <w:right w:type="dxa" w:w="100"/>
            </w:tcMar>
          </w:tcPr>
          <w:p>
            <w:r>
              <w:rPr>
                <w:b/>
                <w:bCs/>
                <w:color w:val="1A1A1A"/>
                <w:sz w:val="19"/>
                <w:szCs w:val="19"/>
              </w:rPr>
              <w:t xml:space="preserve">Endpoints de negócio</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Busca com filtros, detalhes de estabelecimento, favoritar, “Ver Rota”.</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5</w:t>
            </w:r>
          </w:p>
        </w:tc>
        <w:tc>
          <w:tcPr>
            <w:tcW w:type="dxa" w:w="4200"/>
            <w:shd w:fill="FFFFFF" w:val="clear"/>
            <w:tcMar>
              <w:top w:type="dxa" w:w="80"/>
              <w:left w:type="dxa" w:w="100"/>
              <w:bottom w:type="dxa" w:w="80"/>
              <w:right w:type="dxa" w:w="100"/>
            </w:tcMar>
          </w:tcPr>
          <w:p>
            <w:r>
              <w:rPr>
                <w:b/>
                <w:bCs/>
                <w:color w:val="1A1A1A"/>
                <w:sz w:val="19"/>
                <w:szCs w:val="19"/>
              </w:rPr>
              <w:t xml:space="preserve">Motor de Recomendação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Implementação das regras da Especificação Técnica do Algoritmo.</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5.1</w:t>
            </w:r>
          </w:p>
        </w:tc>
        <w:tc>
          <w:tcPr>
            <w:tcW w:type="dxa" w:w="4200"/>
            <w:shd w:fill="F2F2F2" w:val="clear"/>
            <w:tcMar>
              <w:top w:type="dxa" w:w="80"/>
              <w:left w:type="dxa" w:w="100"/>
              <w:bottom w:type="dxa" w:w="80"/>
              <w:right w:type="dxa" w:w="100"/>
            </w:tcMar>
          </w:tcPr>
          <w:p>
            <w:r>
              <w:rPr>
                <w:b/>
                <w:bCs/>
                <w:color w:val="1A1A1A"/>
                <w:sz w:val="19"/>
                <w:szCs w:val="19"/>
              </w:rPr>
              <w:t xml:space="preserve">Módulo Bares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Regras por dia da semana e faixa horária (seg-qui, sex-sáb, domingo).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5.2</w:t>
            </w:r>
          </w:p>
        </w:tc>
        <w:tc>
          <w:tcPr>
            <w:tcW w:type="dxa" w:w="4200"/>
            <w:shd w:fill="FFFFFF" w:val="clear"/>
            <w:tcMar>
              <w:top w:type="dxa" w:w="80"/>
              <w:left w:type="dxa" w:w="100"/>
              <w:bottom w:type="dxa" w:w="80"/>
              <w:right w:type="dxa" w:w="100"/>
            </w:tcMar>
          </w:tcPr>
          <w:p>
            <w:r>
              <w:rPr>
                <w:b/>
                <w:bCs/>
                <w:color w:val="1A1A1A"/>
                <w:sz w:val="19"/>
                <w:szCs w:val="19"/>
              </w:rPr>
              <w:t xml:space="preserve">Módulo Restaurantes</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Regras por faixa horária, com pendência da lacuna de domingo (11h-14h).</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5.3</w:t>
            </w:r>
          </w:p>
        </w:tc>
        <w:tc>
          <w:tcPr>
            <w:tcW w:type="dxa" w:w="4200"/>
            <w:shd w:fill="F2F2F2" w:val="clear"/>
            <w:tcMar>
              <w:top w:type="dxa" w:w="80"/>
              <w:left w:type="dxa" w:w="100"/>
              <w:bottom w:type="dxa" w:w="80"/>
              <w:right w:type="dxa" w:w="100"/>
            </w:tcMar>
          </w:tcPr>
          <w:p>
            <w:r>
              <w:rPr>
                <w:b/>
                <w:bCs/>
                <w:color w:val="1A1A1A"/>
                <w:sz w:val="19"/>
                <w:szCs w:val="19"/>
              </w:rPr>
              <w:t xml:space="preserve">Módulo Cafeterias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Regras uniformes por dia, B2B antes das 11h, Wi-Fi/coworking após.</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5.4</w:t>
            </w:r>
          </w:p>
        </w:tc>
        <w:tc>
          <w:tcPr>
            <w:tcW w:type="dxa" w:w="4200"/>
            <w:shd w:fill="FFFFFF" w:val="clear"/>
            <w:tcMar>
              <w:top w:type="dxa" w:w="80"/>
              <w:left w:type="dxa" w:w="100"/>
              <w:bottom w:type="dxa" w:w="80"/>
              <w:right w:type="dxa" w:w="100"/>
            </w:tcMar>
          </w:tcPr>
          <w:p>
            <w:r>
              <w:rPr>
                <w:b/>
                <w:bCs/>
                <w:color w:val="1A1A1A"/>
                <w:sz w:val="19"/>
                <w:szCs w:val="19"/>
              </w:rPr>
              <w:t xml:space="preserve">Módulo Eventos e patrocínio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Priorização de patrocinados, composição padrão, hierarquia de graus (2.6).</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5.5</w:t>
            </w:r>
          </w:p>
        </w:tc>
        <w:tc>
          <w:tcPr>
            <w:tcW w:type="dxa" w:w="4200"/>
            <w:shd w:fill="F2F2F2" w:val="clear"/>
            <w:tcMar>
              <w:top w:type="dxa" w:w="80"/>
              <w:left w:type="dxa" w:w="100"/>
              <w:bottom w:type="dxa" w:w="80"/>
              <w:right w:type="dxa" w:w="100"/>
            </w:tcMar>
          </w:tcPr>
          <w:p>
            <w:r>
              <w:rPr>
                <w:b/>
                <w:bCs/>
                <w:color w:val="1A1A1A"/>
                <w:sz w:val="19"/>
                <w:szCs w:val="19"/>
              </w:rPr>
              <w:t xml:space="preserve">Datas comemorativas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Cronograma de antecedência (15-25, 10-15, 5-7 dias) e regras específicas (2.7).</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6</w:t>
            </w:r>
          </w:p>
        </w:tc>
        <w:tc>
          <w:tcPr>
            <w:tcW w:type="dxa" w:w="4200"/>
            <w:shd w:fill="FFFFFF" w:val="clear"/>
            <w:tcMar>
              <w:top w:type="dxa" w:w="80"/>
              <w:left w:type="dxa" w:w="100"/>
              <w:bottom w:type="dxa" w:w="80"/>
              <w:right w:type="dxa" w:w="100"/>
            </w:tcMar>
          </w:tcPr>
          <w:p>
            <w:r>
              <w:rPr>
                <w:b/>
                <w:bCs/>
                <w:color w:val="1A1A1A"/>
                <w:sz w:val="19"/>
                <w:szCs w:val="19"/>
              </w:rPr>
              <w:t xml:space="preserve">Front-end</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Telas navegáveis conectadas à API, fiéis ao protótipo Figma.</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6.1</w:t>
            </w:r>
          </w:p>
        </w:tc>
        <w:tc>
          <w:tcPr>
            <w:tcW w:type="dxa" w:w="4200"/>
            <w:shd w:fill="F2F2F2" w:val="clear"/>
            <w:tcMar>
              <w:top w:type="dxa" w:w="80"/>
              <w:left w:type="dxa" w:w="100"/>
              <w:bottom w:type="dxa" w:w="80"/>
              <w:right w:type="dxa" w:w="100"/>
            </w:tcMar>
          </w:tcPr>
          <w:p>
            <w:r>
              <w:rPr>
                <w:b/>
                <w:bCs/>
                <w:color w:val="1A1A1A"/>
                <w:sz w:val="19"/>
                <w:szCs w:val="19"/>
              </w:rPr>
              <w:t xml:space="preserve">Homepage</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Busca, filtros rápidos e destaques — primeira entrega de código.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6.2</w:t>
            </w:r>
          </w:p>
        </w:tc>
        <w:tc>
          <w:tcPr>
            <w:tcW w:type="dxa" w:w="4200"/>
            <w:shd w:fill="FFFFFF" w:val="clear"/>
            <w:tcMar>
              <w:top w:type="dxa" w:w="80"/>
              <w:left w:type="dxa" w:w="100"/>
              <w:bottom w:type="dxa" w:w="80"/>
              <w:right w:type="dxa" w:w="100"/>
            </w:tcMar>
          </w:tcPr>
          <w:p>
            <w:r>
              <w:rPr>
                <w:b/>
                <w:bCs/>
                <w:color w:val="1A1A1A"/>
                <w:sz w:val="19"/>
                <w:szCs w:val="19"/>
              </w:rPr>
              <w:t xml:space="preserve">Cadastro / Login</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Telas conectadas ao módulo de autenticação.</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6.3</w:t>
            </w:r>
          </w:p>
        </w:tc>
        <w:tc>
          <w:tcPr>
            <w:tcW w:type="dxa" w:w="4200"/>
            <w:shd w:fill="F2F2F2" w:val="clear"/>
            <w:tcMar>
              <w:top w:type="dxa" w:w="80"/>
              <w:left w:type="dxa" w:w="100"/>
              <w:bottom w:type="dxa" w:w="80"/>
              <w:right w:type="dxa" w:w="100"/>
            </w:tcMar>
          </w:tcPr>
          <w:p>
            <w:r>
              <w:rPr>
                <w:b/>
                <w:bCs/>
                <w:color w:val="1A1A1A"/>
                <w:sz w:val="19"/>
                <w:szCs w:val="19"/>
              </w:rPr>
              <w:t xml:space="preserve">Resultados e Detalhes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Listagem ordenada por geolocalização e tela de detalhes do estabelecimento.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6.4</w:t>
            </w:r>
          </w:p>
        </w:tc>
        <w:tc>
          <w:tcPr>
            <w:tcW w:type="dxa" w:w="4200"/>
            <w:shd w:fill="FFFFFF" w:val="clear"/>
            <w:tcMar>
              <w:top w:type="dxa" w:w="80"/>
              <w:left w:type="dxa" w:w="100"/>
              <w:bottom w:type="dxa" w:w="80"/>
              <w:right w:type="dxa" w:w="100"/>
            </w:tcMar>
          </w:tcPr>
          <w:p>
            <w:r>
              <w:rPr>
                <w:b/>
                <w:bCs/>
                <w:color w:val="1A1A1A"/>
                <w:sz w:val="19"/>
                <w:szCs w:val="19"/>
              </w:rPr>
              <w:t xml:space="preserve">Favoritar / Ver Rota</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Gatilhos que exigem login e fecham o fluxo de demonstração.</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6.5</w:t>
            </w:r>
          </w:p>
        </w:tc>
        <w:tc>
          <w:tcPr>
            <w:tcW w:type="dxa" w:w="4200"/>
            <w:shd w:fill="F2F2F2" w:val="clear"/>
            <w:tcMar>
              <w:top w:type="dxa" w:w="80"/>
              <w:left w:type="dxa" w:w="100"/>
              <w:bottom w:type="dxa" w:w="80"/>
              <w:right w:type="dxa" w:w="100"/>
            </w:tcMar>
          </w:tcPr>
          <w:p>
            <w:r>
              <w:rPr>
                <w:b/>
                <w:bCs/>
                <w:color w:val="1A1A1A"/>
                <w:sz w:val="19"/>
                <w:szCs w:val="19"/>
              </w:rPr>
              <w:t xml:space="preserve">Responsividade</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Validação 100% responsiva em desktop, com base para mobile.</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7</w:t>
            </w:r>
          </w:p>
        </w:tc>
        <w:tc>
          <w:tcPr>
            <w:tcW w:type="dxa" w:w="4200"/>
            <w:shd w:fill="FFFFFF" w:val="clear"/>
            <w:tcMar>
              <w:top w:type="dxa" w:w="80"/>
              <w:left w:type="dxa" w:w="100"/>
              <w:bottom w:type="dxa" w:w="80"/>
              <w:right w:type="dxa" w:w="100"/>
            </w:tcMar>
          </w:tcPr>
          <w:p>
            <w:r>
              <w:rPr>
                <w:b/>
                <w:bCs/>
                <w:color w:val="1A1A1A"/>
                <w:sz w:val="19"/>
                <w:szCs w:val="19"/>
              </w:rPr>
              <w:t xml:space="preserve">Qualidade (QA)</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Garantia dos critérios de sucesso definidos no TAP.</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7.1</w:t>
            </w:r>
          </w:p>
        </w:tc>
        <w:tc>
          <w:tcPr>
            <w:tcW w:type="dxa" w:w="4200"/>
            <w:shd w:fill="F2F2F2" w:val="clear"/>
            <w:tcMar>
              <w:top w:type="dxa" w:w="80"/>
              <w:left w:type="dxa" w:w="100"/>
              <w:bottom w:type="dxa" w:w="80"/>
              <w:right w:type="dxa" w:w="100"/>
            </w:tcMar>
          </w:tcPr>
          <w:p>
            <w:r>
              <w:rPr>
                <w:b/>
                <w:bCs/>
                <w:color w:val="1A1A1A"/>
                <w:sz w:val="19"/>
                <w:szCs w:val="19"/>
              </w:rPr>
              <w:t xml:space="preserve">Testes automatizados</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Unitários e de integração, com ênfase no motor de recomendação.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7.2</w:t>
            </w:r>
          </w:p>
        </w:tc>
        <w:tc>
          <w:tcPr>
            <w:tcW w:type="dxa" w:w="4200"/>
            <w:shd w:fill="FFFFFF" w:val="clear"/>
            <w:tcMar>
              <w:top w:type="dxa" w:w="80"/>
              <w:left w:type="dxa" w:w="100"/>
              <w:bottom w:type="dxa" w:w="80"/>
              <w:right w:type="dxa" w:w="100"/>
            </w:tcMar>
          </w:tcPr>
          <w:p>
            <w:r>
              <w:rPr>
                <w:b/>
                <w:bCs/>
                <w:color w:val="1A1A1A"/>
                <w:sz w:val="19"/>
                <w:szCs w:val="19"/>
              </w:rPr>
              <w:t xml:space="preserve">Teste de usabilidade</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Mínimo 3 participantes, meta de intenção de uso acima de 60%.</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7.3</w:t>
            </w:r>
          </w:p>
        </w:tc>
        <w:tc>
          <w:tcPr>
            <w:tcW w:type="dxa" w:w="4200"/>
            <w:shd w:fill="F2F2F2" w:val="clear"/>
            <w:tcMar>
              <w:top w:type="dxa" w:w="80"/>
              <w:left w:type="dxa" w:w="100"/>
              <w:bottom w:type="dxa" w:w="80"/>
              <w:right w:type="dxa" w:w="100"/>
            </w:tcMar>
          </w:tcPr>
          <w:p>
            <w:r>
              <w:rPr>
                <w:b/>
                <w:bCs/>
                <w:color w:val="1A1A1A"/>
                <w:sz w:val="19"/>
                <w:szCs w:val="19"/>
              </w:rPr>
              <w:t xml:space="preserve">Performance</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Tempo de carregamento inferior a 3 segundos; jornada em até 3 interações.</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8</w:t>
            </w:r>
          </w:p>
        </w:tc>
        <w:tc>
          <w:tcPr>
            <w:tcW w:type="dxa" w:w="4200"/>
            <w:shd w:fill="FFFFFF" w:val="clear"/>
            <w:tcMar>
              <w:top w:type="dxa" w:w="80"/>
              <w:left w:type="dxa" w:w="100"/>
              <w:bottom w:type="dxa" w:w="80"/>
              <w:right w:type="dxa" w:w="100"/>
            </w:tcMar>
          </w:tcPr>
          <w:p>
            <w:r>
              <w:rPr>
                <w:b/>
                <w:bCs/>
                <w:color w:val="1A1A1A"/>
                <w:sz w:val="19"/>
                <w:szCs w:val="19"/>
              </w:rPr>
              <w:t xml:space="preserve">Documentação &amp; Encerramento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Consolidação da documentação oficial e preparação da banca.</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8.1</w:t>
            </w:r>
          </w:p>
        </w:tc>
        <w:tc>
          <w:tcPr>
            <w:tcW w:type="dxa" w:w="4200"/>
            <w:shd w:fill="F2F2F2" w:val="clear"/>
            <w:tcMar>
              <w:top w:type="dxa" w:w="80"/>
              <w:left w:type="dxa" w:w="100"/>
              <w:bottom w:type="dxa" w:w="80"/>
              <w:right w:type="dxa" w:w="100"/>
            </w:tcMar>
          </w:tcPr>
          <w:p>
            <w:r>
              <w:rPr>
                <w:b/>
                <w:bCs/>
                <w:color w:val="1A1A1A"/>
                <w:sz w:val="19"/>
                <w:szCs w:val="19"/>
              </w:rPr>
              <w:t xml:space="preserve">Atualização semanal do TAP</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Toda segunda-feira, registrando decisões e progresso da sprint anterior.</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8.2</w:t>
            </w:r>
          </w:p>
        </w:tc>
        <w:tc>
          <w:tcPr>
            <w:tcW w:type="dxa" w:w="4200"/>
            <w:shd w:fill="FFFFFF" w:val="clear"/>
            <w:tcMar>
              <w:top w:type="dxa" w:w="80"/>
              <w:left w:type="dxa" w:w="100"/>
              <w:bottom w:type="dxa" w:w="80"/>
              <w:right w:type="dxa" w:w="100"/>
            </w:tcMar>
          </w:tcPr>
          <w:p>
            <w:r>
              <w:rPr>
                <w:b/>
                <w:bCs/>
                <w:color w:val="1A1A1A"/>
                <w:sz w:val="19"/>
                <w:szCs w:val="19"/>
              </w:rPr>
              <w:t xml:space="preserve">Consolidação do algoritmo</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Resolução dos pontos em aberto (item 3.4 da especificação) antes da submissão.</w:t>
            </w:r>
          </w:p>
        </w:tc>
      </w:tr>
      <w:tr>
        <w:tc>
          <w:tcPr>
            <w:tcW w:type="dxa" w:w="1200"/>
            <w:shd w:fill="F2F2F2" w:val="clear"/>
            <w:tcMar>
              <w:top w:type="dxa" w:w="80"/>
              <w:left w:type="dxa" w:w="100"/>
              <w:bottom w:type="dxa" w:w="80"/>
              <w:right w:type="dxa" w:w="100"/>
            </w:tcMar>
          </w:tcPr>
          <w:p>
            <w:pPr>
              <w:jc w:val="center"/>
            </w:pPr>
            <w:r>
              <w:rPr>
                <w:b w:val="false"/>
                <w:bCs w:val="false"/>
                <w:color w:val="1A1A1A"/>
                <w:sz w:val="19"/>
                <w:szCs w:val="19"/>
              </w:rPr>
              <w:t xml:space="preserve">8.3</w:t>
            </w:r>
          </w:p>
        </w:tc>
        <w:tc>
          <w:tcPr>
            <w:tcW w:type="dxa" w:w="4200"/>
            <w:shd w:fill="F2F2F2" w:val="clear"/>
            <w:tcMar>
              <w:top w:type="dxa" w:w="80"/>
              <w:left w:type="dxa" w:w="100"/>
              <w:bottom w:type="dxa" w:w="80"/>
              <w:right w:type="dxa" w:w="100"/>
            </w:tcMar>
          </w:tcPr>
          <w:p>
            <w:r>
              <w:rPr>
                <w:b/>
                <w:bCs/>
                <w:color w:val="1A1A1A"/>
                <w:sz w:val="19"/>
                <w:szCs w:val="19"/>
              </w:rPr>
              <w:t xml:space="preserve">Ensaio e pitch final</w:t>
            </w:r>
          </w:p>
        </w:tc>
        <w:tc>
          <w:tcPr>
            <w:tcW w:type="dxa" w:w="4200"/>
            <w:shd w:fill="F2F2F2" w:val="clear"/>
            <w:tcMar>
              <w:top w:type="dxa" w:w="80"/>
              <w:left w:type="dxa" w:w="100"/>
              <w:bottom w:type="dxa" w:w="80"/>
              <w:right w:type="dxa" w:w="100"/>
            </w:tcMar>
          </w:tcPr>
          <w:p>
            <w:r>
              <w:rPr>
                <w:b w:val="false"/>
                <w:bCs w:val="false"/>
                <w:color w:val="1A1A1A"/>
                <w:sz w:val="19"/>
                <w:szCs w:val="19"/>
              </w:rPr>
              <w:t xml:space="preserve">Preparação da demonstração ao vivo: Cadastro → Escolha do bar → Confirmação.</w:t>
            </w:r>
          </w:p>
        </w:tc>
      </w:tr>
      <w:tr>
        <w:tc>
          <w:tcPr>
            <w:tcW w:type="dxa" w:w="1200"/>
            <w:shd w:fill="FFFFFF" w:val="clear"/>
            <w:tcMar>
              <w:top w:type="dxa" w:w="80"/>
              <w:left w:type="dxa" w:w="100"/>
              <w:bottom w:type="dxa" w:w="80"/>
              <w:right w:type="dxa" w:w="100"/>
            </w:tcMar>
          </w:tcPr>
          <w:p>
            <w:pPr>
              <w:jc w:val="center"/>
            </w:pPr>
            <w:r>
              <w:rPr>
                <w:b w:val="false"/>
                <w:bCs w:val="false"/>
                <w:color w:val="1A1A1A"/>
                <w:sz w:val="19"/>
                <w:szCs w:val="19"/>
              </w:rPr>
              <w:t xml:space="preserve">8.4</w:t>
            </w:r>
          </w:p>
        </w:tc>
        <w:tc>
          <w:tcPr>
            <w:tcW w:type="dxa" w:w="4200"/>
            <w:shd w:fill="FFFFFF" w:val="clear"/>
            <w:tcMar>
              <w:top w:type="dxa" w:w="80"/>
              <w:left w:type="dxa" w:w="100"/>
              <w:bottom w:type="dxa" w:w="80"/>
              <w:right w:type="dxa" w:w="100"/>
            </w:tcMar>
          </w:tcPr>
          <w:p>
            <w:r>
              <w:rPr>
                <w:b/>
                <w:bCs/>
                <w:color w:val="1A1A1A"/>
                <w:sz w:val="19"/>
                <w:szCs w:val="19"/>
              </w:rPr>
              <w:t xml:space="preserve">Entrega à banca</w:t>
            </w:r>
          </w:p>
        </w:tc>
        <w:tc>
          <w:tcPr>
            <w:tcW w:type="dxa" w:w="4200"/>
            <w:shd w:fill="FFFFFF" w:val="clear"/>
            <w:tcMar>
              <w:top w:type="dxa" w:w="80"/>
              <w:left w:type="dxa" w:w="100"/>
              <w:bottom w:type="dxa" w:w="80"/>
              <w:right w:type="dxa" w:w="100"/>
            </w:tcMar>
          </w:tcPr>
          <w:p>
            <w:r>
              <w:rPr>
                <w:b w:val="false"/>
                <w:bCs w:val="false"/>
                <w:color w:val="1A1A1A"/>
                <w:sz w:val="19"/>
                <w:szCs w:val="19"/>
              </w:rPr>
              <w:t xml:space="preserve">Pacote final de documentação + demo funcional em 15/11/2026.</w:t>
            </w:r>
          </w:p>
        </w:tc>
      </w:tr>
    </w:tbl>
    <w:p>
      <w:pPr>
        <w:pStyle w:val="Heading1"/>
        <w:pBdr>
          <w:bottom w:val="single" w:color="E8722C" w:sz="12" w:space="4"/>
        </w:pBdr>
        <w:spacing w:after="160" w:before="320"/>
      </w:pPr>
      <w:r>
        <w:rPr>
          <w:b/>
          <w:bCs/>
          <w:color w:val="1B2A4A"/>
          <w:sz w:val="30"/>
          <w:szCs w:val="30"/>
        </w:rPr>
        <w:t xml:space="preserve">4. Distribuição da Equipe por Frentes de Trabalho</w:t>
      </w:r>
    </w:p>
    <w:p>
      <w:pPr>
        <w:spacing w:after="120"/>
      </w:pPr>
      <w:r>
        <w:rPr>
          <w:sz w:val="21"/>
          <w:szCs w:val="21"/>
        </w:rPr>
        <w:t xml:space="preserve">Conforme combinado, os nomes não são fixados neste documento — a equipe decide a alocação a cada sprint. A distribuição abaixo organiza as 8 vagas da equipe em 6 frentes, mantendo continuidade com os papéis já definidos no TAP (Infraestrutura, UI/UX, QA, Back-end, Scrum Master).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c>
          <w:tcPr>
            <w:tcW w:type="dxa" w:w="900"/>
            <w:shd w:fill="1B2A4A" w:val="clear"/>
            <w:tcMar>
              <w:top w:type="dxa" w:w="80"/>
              <w:left w:type="dxa" w:w="100"/>
              <w:bottom w:type="dxa" w:w="80"/>
              <w:right w:type="dxa" w:w="100"/>
            </w:tcMar>
          </w:tcPr>
          <w:p>
            <w:pPr>
              <w:jc w:val="center"/>
            </w:pPr>
            <w:r>
              <w:rPr>
                <w:b/>
                <w:bCs/>
                <w:color w:val="FFFFFF"/>
                <w:sz w:val="19"/>
                <w:szCs w:val="19"/>
              </w:rPr>
              <w:t xml:space="preserve">Vagas</w:t>
            </w:r>
          </w:p>
        </w:tc>
        <w:tc>
          <w:tcPr>
            <w:tcW w:type="dxa" w:w="2600"/>
            <w:shd w:fill="1B2A4A" w:val="clear"/>
            <w:tcMar>
              <w:top w:type="dxa" w:w="80"/>
              <w:left w:type="dxa" w:w="100"/>
              <w:bottom w:type="dxa" w:w="80"/>
              <w:right w:type="dxa" w:w="100"/>
            </w:tcMar>
          </w:tcPr>
          <w:p>
            <w:r>
              <w:rPr>
                <w:b/>
                <w:bCs/>
                <w:color w:val="FFFFFF"/>
                <w:sz w:val="19"/>
                <w:szCs w:val="19"/>
              </w:rPr>
              <w:t xml:space="preserve">Frente de trabalho</w:t>
            </w:r>
          </w:p>
        </w:tc>
        <w:tc>
          <w:tcPr>
            <w:tcW w:type="dxa" w:w="3200"/>
            <w:shd w:fill="1B2A4A" w:val="clear"/>
            <w:tcMar>
              <w:top w:type="dxa" w:w="80"/>
              <w:left w:type="dxa" w:w="100"/>
              <w:bottom w:type="dxa" w:w="80"/>
              <w:right w:type="dxa" w:w="100"/>
            </w:tcMar>
          </w:tcPr>
          <w:p>
            <w:r>
              <w:rPr>
                <w:b/>
                <w:bCs/>
                <w:color w:val="FFFFFF"/>
                <w:sz w:val="19"/>
                <w:szCs w:val="19"/>
              </w:rPr>
              <w:t xml:space="preserve">Responsabilidades principais</w:t>
            </w:r>
          </w:p>
        </w:tc>
        <w:tc>
          <w:tcPr>
            <w:tcW w:type="dxa" w:w="2900"/>
            <w:shd w:fill="1B2A4A" w:val="clear"/>
            <w:tcMar>
              <w:top w:type="dxa" w:w="80"/>
              <w:left w:type="dxa" w:w="100"/>
              <w:bottom w:type="dxa" w:w="80"/>
              <w:right w:type="dxa" w:w="100"/>
            </w:tcMar>
          </w:tcPr>
          <w:p>
            <w:r>
              <w:rPr>
                <w:b/>
                <w:bCs/>
                <w:color w:val="FFFFFF"/>
                <w:sz w:val="19"/>
                <w:szCs w:val="19"/>
              </w:rPr>
              <w:t xml:space="preserve">Pacotes EAP relacionados</w:t>
            </w:r>
          </w:p>
        </w:tc>
      </w:tr>
      <w:tr>
        <w:tc>
          <w:tcPr>
            <w:tcW w:type="dxa" w:w="900"/>
            <w:shd w:fill="FFFFFF" w:val="clear"/>
            <w:tcMar>
              <w:top w:type="dxa" w:w="80"/>
              <w:left w:type="dxa" w:w="100"/>
              <w:bottom w:type="dxa" w:w="80"/>
              <w:right w:type="dxa" w:w="100"/>
            </w:tcMar>
          </w:tcPr>
          <w:p>
            <w:pPr>
              <w:jc w:val="center"/>
            </w:pPr>
            <w:r>
              <w:rPr>
                <w:b w:val="false"/>
                <w:bCs w:val="false"/>
                <w:color w:val="1A1A1A"/>
                <w:sz w:val="19"/>
                <w:szCs w:val="19"/>
              </w:rPr>
              <w:t xml:space="preserve">1</w:t>
            </w:r>
          </w:p>
        </w:tc>
        <w:tc>
          <w:tcPr>
            <w:tcW w:type="dxa" w:w="2600"/>
            <w:shd w:fill="FFFFFF" w:val="clear"/>
            <w:tcMar>
              <w:top w:type="dxa" w:w="80"/>
              <w:left w:type="dxa" w:w="100"/>
              <w:bottom w:type="dxa" w:w="80"/>
              <w:right w:type="dxa" w:w="100"/>
            </w:tcMar>
          </w:tcPr>
          <w:p>
            <w:r>
              <w:rPr>
                <w:b/>
                <w:bCs/>
                <w:color w:val="1A1A1A"/>
                <w:sz w:val="19"/>
                <w:szCs w:val="19"/>
              </w:rPr>
              <w:t xml:space="preserve">Back-end / API</w:t>
            </w:r>
          </w:p>
        </w:tc>
        <w:tc>
          <w:tcPr>
            <w:tcW w:type="dxa" w:w="3200"/>
            <w:shd w:fill="FFFFFF" w:val="clear"/>
            <w:tcMar>
              <w:top w:type="dxa" w:w="80"/>
              <w:left w:type="dxa" w:w="100"/>
              <w:bottom w:type="dxa" w:w="80"/>
              <w:right w:type="dxa" w:w="100"/>
            </w:tcMar>
          </w:tcPr>
          <w:p>
            <w:r>
              <w:rPr>
                <w:b w:val="false"/>
                <w:bCs w:val="false"/>
                <w:color w:val="1A1A1A"/>
                <w:sz w:val="19"/>
                <w:szCs w:val="19"/>
              </w:rPr>
              <w:t xml:space="preserve">FastAPI, autenticação, endpoints de negócio, contrato de dados com o front-end.</w:t>
            </w:r>
          </w:p>
        </w:tc>
        <w:tc>
          <w:tcPr>
            <w:tcW w:type="dxa" w:w="2900"/>
            <w:shd w:fill="FFFFFF" w:val="clear"/>
            <w:tcMar>
              <w:top w:type="dxa" w:w="80"/>
              <w:left w:type="dxa" w:w="100"/>
              <w:bottom w:type="dxa" w:w="80"/>
              <w:right w:type="dxa" w:w="100"/>
            </w:tcMar>
          </w:tcPr>
          <w:p>
            <w:r>
              <w:rPr>
                <w:b w:val="false"/>
                <w:bCs w:val="false"/>
                <w:color w:val="1A1A1A"/>
                <w:sz w:val="19"/>
                <w:szCs w:val="19"/>
              </w:rPr>
              <w:t xml:space="preserve">4.1, 4.2, 4.3</w:t>
            </w:r>
          </w:p>
        </w:tc>
      </w:tr>
      <w:tr>
        <w:tc>
          <w:tcPr>
            <w:tcW w:type="dxa" w:w="900"/>
            <w:shd w:fill="F2F2F2" w:val="clear"/>
            <w:tcMar>
              <w:top w:type="dxa" w:w="80"/>
              <w:left w:type="dxa" w:w="100"/>
              <w:bottom w:type="dxa" w:w="80"/>
              <w:right w:type="dxa" w:w="100"/>
            </w:tcMar>
          </w:tcPr>
          <w:p>
            <w:pPr>
              <w:jc w:val="center"/>
            </w:pPr>
            <w:r>
              <w:rPr>
                <w:b w:val="false"/>
                <w:bCs w:val="false"/>
                <w:color w:val="1A1A1A"/>
                <w:sz w:val="19"/>
                <w:szCs w:val="19"/>
              </w:rPr>
              <w:t xml:space="preserve">2</w:t>
            </w:r>
          </w:p>
        </w:tc>
        <w:tc>
          <w:tcPr>
            <w:tcW w:type="dxa" w:w="2600"/>
            <w:shd w:fill="F2F2F2" w:val="clear"/>
            <w:tcMar>
              <w:top w:type="dxa" w:w="80"/>
              <w:left w:type="dxa" w:w="100"/>
              <w:bottom w:type="dxa" w:w="80"/>
              <w:right w:type="dxa" w:w="100"/>
            </w:tcMar>
          </w:tcPr>
          <w:p>
            <w:r>
              <w:rPr>
                <w:b/>
                <w:bCs/>
                <w:color w:val="1A1A1A"/>
                <w:sz w:val="19"/>
                <w:szCs w:val="19"/>
              </w:rPr>
              <w:t xml:space="preserve">Front-end</w:t>
            </w:r>
          </w:p>
        </w:tc>
        <w:tc>
          <w:tcPr>
            <w:tcW w:type="dxa" w:w="3200"/>
            <w:shd w:fill="F2F2F2" w:val="clear"/>
            <w:tcMar>
              <w:top w:type="dxa" w:w="80"/>
              <w:left w:type="dxa" w:w="100"/>
              <w:bottom w:type="dxa" w:w="80"/>
              <w:right w:type="dxa" w:w="100"/>
            </w:tcMar>
          </w:tcPr>
          <w:p>
            <w:r>
              <w:rPr>
                <w:b w:val="false"/>
                <w:bCs w:val="false"/>
                <w:color w:val="1A1A1A"/>
                <w:sz w:val="19"/>
                <w:szCs w:val="19"/>
              </w:rPr>
              <w:t xml:space="preserve">Telas em HTML/CSS/JS, consumo da API, fidelidade ao protótipo Figma, responsividade.</w:t>
            </w:r>
          </w:p>
        </w:tc>
        <w:tc>
          <w:tcPr>
            <w:tcW w:type="dxa" w:w="2900"/>
            <w:shd w:fill="F2F2F2" w:val="clear"/>
            <w:tcMar>
              <w:top w:type="dxa" w:w="80"/>
              <w:left w:type="dxa" w:w="100"/>
              <w:bottom w:type="dxa" w:w="80"/>
              <w:right w:type="dxa" w:w="100"/>
            </w:tcMar>
          </w:tcPr>
          <w:p>
            <w:r>
              <w:rPr>
                <w:b w:val="false"/>
                <w:bCs w:val="false"/>
                <w:color w:val="1A1A1A"/>
                <w:sz w:val="19"/>
                <w:szCs w:val="19"/>
              </w:rPr>
              <w:t xml:space="preserve">6.1 a 6.5</w:t>
            </w:r>
          </w:p>
        </w:tc>
      </w:tr>
      <w:tr>
        <w:tc>
          <w:tcPr>
            <w:tcW w:type="dxa" w:w="900"/>
            <w:shd w:fill="FFFFFF" w:val="clear"/>
            <w:tcMar>
              <w:top w:type="dxa" w:w="80"/>
              <w:left w:type="dxa" w:w="100"/>
              <w:bottom w:type="dxa" w:w="80"/>
              <w:right w:type="dxa" w:w="100"/>
            </w:tcMar>
          </w:tcPr>
          <w:p>
            <w:pPr>
              <w:jc w:val="center"/>
            </w:pPr>
            <w:r>
              <w:rPr>
                <w:b w:val="false"/>
                <w:bCs w:val="false"/>
                <w:color w:val="1A1A1A"/>
                <w:sz w:val="19"/>
                <w:szCs w:val="19"/>
              </w:rPr>
              <w:t xml:space="preserve">1</w:t>
            </w:r>
          </w:p>
        </w:tc>
        <w:tc>
          <w:tcPr>
            <w:tcW w:type="dxa" w:w="2600"/>
            <w:shd w:fill="FFFFFF" w:val="clear"/>
            <w:tcMar>
              <w:top w:type="dxa" w:w="80"/>
              <w:left w:type="dxa" w:w="100"/>
              <w:bottom w:type="dxa" w:w="80"/>
              <w:right w:type="dxa" w:w="100"/>
            </w:tcMar>
          </w:tcPr>
          <w:p>
            <w:r>
              <w:rPr>
                <w:b/>
                <w:bCs/>
                <w:color w:val="1A1A1A"/>
                <w:sz w:val="19"/>
                <w:szCs w:val="19"/>
              </w:rPr>
              <w:t xml:space="preserve">Banco de Dados &amp; Algoritmo</w:t>
            </w:r>
          </w:p>
        </w:tc>
        <w:tc>
          <w:tcPr>
            <w:tcW w:type="dxa" w:w="3200"/>
            <w:shd w:fill="FFFFFF" w:val="clear"/>
            <w:tcMar>
              <w:top w:type="dxa" w:w="80"/>
              <w:left w:type="dxa" w:w="100"/>
              <w:bottom w:type="dxa" w:w="80"/>
              <w:right w:type="dxa" w:w="100"/>
            </w:tcMar>
          </w:tcPr>
          <w:p>
            <w:r>
              <w:rPr>
                <w:b w:val="false"/>
                <w:bCs w:val="false"/>
                <w:color w:val="1A1A1A"/>
                <w:sz w:val="19"/>
                <w:szCs w:val="19"/>
              </w:rPr>
              <w:t xml:space="preserve">Modelagem, migrações, seed de dados e implementação das regras de recomendação.</w:t>
            </w:r>
          </w:p>
        </w:tc>
        <w:tc>
          <w:tcPr>
            <w:tcW w:type="dxa" w:w="2900"/>
            <w:shd w:fill="FFFFFF" w:val="clear"/>
            <w:tcMar>
              <w:top w:type="dxa" w:w="80"/>
              <w:left w:type="dxa" w:w="100"/>
              <w:bottom w:type="dxa" w:w="80"/>
              <w:right w:type="dxa" w:w="100"/>
            </w:tcMar>
          </w:tcPr>
          <w:p>
            <w:r>
              <w:rPr>
                <w:b w:val="false"/>
                <w:bCs w:val="false"/>
                <w:color w:val="1A1A1A"/>
                <w:sz w:val="19"/>
                <w:szCs w:val="19"/>
              </w:rPr>
              <w:t xml:space="preserve">3.1, 3.2, 5.1 a 5.5</w:t>
            </w:r>
          </w:p>
        </w:tc>
      </w:tr>
      <w:tr>
        <w:tc>
          <w:tcPr>
            <w:tcW w:type="dxa" w:w="900"/>
            <w:shd w:fill="F2F2F2" w:val="clear"/>
            <w:tcMar>
              <w:top w:type="dxa" w:w="80"/>
              <w:left w:type="dxa" w:w="100"/>
              <w:bottom w:type="dxa" w:w="80"/>
              <w:right w:type="dxa" w:w="100"/>
            </w:tcMar>
          </w:tcPr>
          <w:p>
            <w:pPr>
              <w:jc w:val="center"/>
            </w:pPr>
            <w:r>
              <w:rPr>
                <w:b w:val="false"/>
                <w:bCs w:val="false"/>
                <w:color w:val="1A1A1A"/>
                <w:sz w:val="19"/>
                <w:szCs w:val="19"/>
              </w:rPr>
              <w:t xml:space="preserve">2</w:t>
            </w:r>
          </w:p>
        </w:tc>
        <w:tc>
          <w:tcPr>
            <w:tcW w:type="dxa" w:w="2600"/>
            <w:shd w:fill="F2F2F2" w:val="clear"/>
            <w:tcMar>
              <w:top w:type="dxa" w:w="80"/>
              <w:left w:type="dxa" w:w="100"/>
              <w:bottom w:type="dxa" w:w="80"/>
              <w:right w:type="dxa" w:w="100"/>
            </w:tcMar>
          </w:tcPr>
          <w:p>
            <w:r>
              <w:rPr>
                <w:b/>
                <w:bCs/>
                <w:color w:val="1A1A1A"/>
                <w:sz w:val="19"/>
                <w:szCs w:val="19"/>
              </w:rPr>
              <w:t xml:space="preserve">Infraestrutura / DevOps</w:t>
            </w:r>
          </w:p>
        </w:tc>
        <w:tc>
          <w:tcPr>
            <w:tcW w:type="dxa" w:w="3200"/>
            <w:shd w:fill="F2F2F2" w:val="clear"/>
            <w:tcMar>
              <w:top w:type="dxa" w:w="80"/>
              <w:left w:type="dxa" w:w="100"/>
              <w:bottom w:type="dxa" w:w="80"/>
              <w:right w:type="dxa" w:w="100"/>
            </w:tcMar>
          </w:tcPr>
          <w:p>
            <w:r>
              <w:rPr>
                <w:b w:val="false"/>
                <w:bCs w:val="false"/>
                <w:color w:val="1A1A1A"/>
                <w:sz w:val="19"/>
                <w:szCs w:val="19"/>
              </w:rPr>
              <w:t xml:space="preserve">Domínio, Docker/PostgreSQL, GitHub (branches/PR), integração Google Maps API.</w:t>
            </w:r>
          </w:p>
        </w:tc>
        <w:tc>
          <w:tcPr>
            <w:tcW w:type="dxa" w:w="2900"/>
            <w:shd w:fill="F2F2F2" w:val="clear"/>
            <w:tcMar>
              <w:top w:type="dxa" w:w="80"/>
              <w:left w:type="dxa" w:w="100"/>
              <w:bottom w:type="dxa" w:w="80"/>
              <w:right w:type="dxa" w:w="100"/>
            </w:tcMar>
          </w:tcPr>
          <w:p>
            <w:r>
              <w:rPr>
                <w:b w:val="false"/>
                <w:bCs w:val="false"/>
                <w:color w:val="1A1A1A"/>
                <w:sz w:val="19"/>
                <w:szCs w:val="19"/>
              </w:rPr>
              <w:t xml:space="preserve">2.1 a 2.4</w:t>
            </w:r>
          </w:p>
        </w:tc>
      </w:tr>
      <w:tr>
        <w:tc>
          <w:tcPr>
            <w:tcW w:type="dxa" w:w="900"/>
            <w:shd w:fill="FFFFFF" w:val="clear"/>
            <w:tcMar>
              <w:top w:type="dxa" w:w="80"/>
              <w:left w:type="dxa" w:w="100"/>
              <w:bottom w:type="dxa" w:w="80"/>
              <w:right w:type="dxa" w:w="100"/>
            </w:tcMar>
          </w:tcPr>
          <w:p>
            <w:pPr>
              <w:jc w:val="center"/>
            </w:pPr>
            <w:r>
              <w:rPr>
                <w:b w:val="false"/>
                <w:bCs w:val="false"/>
                <w:color w:val="1A1A1A"/>
                <w:sz w:val="19"/>
                <w:szCs w:val="19"/>
              </w:rPr>
              <w:t xml:space="preserve">1</w:t>
            </w:r>
          </w:p>
        </w:tc>
        <w:tc>
          <w:tcPr>
            <w:tcW w:type="dxa" w:w="2600"/>
            <w:shd w:fill="FFFFFF" w:val="clear"/>
            <w:tcMar>
              <w:top w:type="dxa" w:w="80"/>
              <w:left w:type="dxa" w:w="100"/>
              <w:bottom w:type="dxa" w:w="80"/>
              <w:right w:type="dxa" w:w="100"/>
            </w:tcMar>
          </w:tcPr>
          <w:p>
            <w:r>
              <w:rPr>
                <w:b/>
                <w:bCs/>
                <w:color w:val="1A1A1A"/>
                <w:sz w:val="19"/>
                <w:szCs w:val="19"/>
              </w:rPr>
              <w:t xml:space="preserve">QA &amp; Testes</w:t>
            </w:r>
          </w:p>
        </w:tc>
        <w:tc>
          <w:tcPr>
            <w:tcW w:type="dxa" w:w="3200"/>
            <w:shd w:fill="FFFFFF" w:val="clear"/>
            <w:tcMar>
              <w:top w:type="dxa" w:w="80"/>
              <w:left w:type="dxa" w:w="100"/>
              <w:bottom w:type="dxa" w:w="80"/>
              <w:right w:type="dxa" w:w="100"/>
            </w:tcMar>
          </w:tcPr>
          <w:p>
            <w:r>
              <w:rPr>
                <w:b w:val="false"/>
                <w:bCs w:val="false"/>
                <w:color w:val="1A1A1A"/>
                <w:sz w:val="19"/>
                <w:szCs w:val="19"/>
              </w:rPr>
              <w:t xml:space="preserve">Testes unitários/integração, roteiro e execução do teste de usabilidade.</w:t>
            </w:r>
          </w:p>
        </w:tc>
        <w:tc>
          <w:tcPr>
            <w:tcW w:type="dxa" w:w="2900"/>
            <w:shd w:fill="FFFFFF" w:val="clear"/>
            <w:tcMar>
              <w:top w:type="dxa" w:w="80"/>
              <w:left w:type="dxa" w:w="100"/>
              <w:bottom w:type="dxa" w:w="80"/>
              <w:right w:type="dxa" w:w="100"/>
            </w:tcMar>
          </w:tcPr>
          <w:p>
            <w:r>
              <w:rPr>
                <w:b w:val="false"/>
                <w:bCs w:val="false"/>
                <w:color w:val="1A1A1A"/>
                <w:sz w:val="19"/>
                <w:szCs w:val="19"/>
              </w:rPr>
              <w:t xml:space="preserve">7.1, 7.2, 7.3</w:t>
            </w:r>
          </w:p>
        </w:tc>
      </w:tr>
      <w:tr>
        <w:tc>
          <w:tcPr>
            <w:tcW w:type="dxa" w:w="900"/>
            <w:shd w:fill="F2F2F2" w:val="clear"/>
            <w:tcMar>
              <w:top w:type="dxa" w:w="80"/>
              <w:left w:type="dxa" w:w="100"/>
              <w:bottom w:type="dxa" w:w="80"/>
              <w:right w:type="dxa" w:w="100"/>
            </w:tcMar>
          </w:tcPr>
          <w:p>
            <w:pPr>
              <w:jc w:val="center"/>
            </w:pPr>
            <w:r>
              <w:rPr>
                <w:b w:val="false"/>
                <w:bCs w:val="false"/>
                <w:color w:val="1A1A1A"/>
                <w:sz w:val="19"/>
                <w:szCs w:val="19"/>
              </w:rPr>
              <w:t xml:space="preserve">1</w:t>
            </w:r>
          </w:p>
        </w:tc>
        <w:tc>
          <w:tcPr>
            <w:tcW w:type="dxa" w:w="2600"/>
            <w:shd w:fill="F2F2F2" w:val="clear"/>
            <w:tcMar>
              <w:top w:type="dxa" w:w="80"/>
              <w:left w:type="dxa" w:w="100"/>
              <w:bottom w:type="dxa" w:w="80"/>
              <w:right w:type="dxa" w:w="100"/>
            </w:tcMar>
          </w:tcPr>
          <w:p>
            <w:r>
              <w:rPr>
                <w:b/>
                <w:bCs/>
                <w:color w:val="1A1A1A"/>
                <w:sz w:val="19"/>
                <w:szCs w:val="19"/>
              </w:rPr>
              <w:t xml:space="preserve">UX/UI &amp; Documentação</w:t>
            </w:r>
          </w:p>
        </w:tc>
        <w:tc>
          <w:tcPr>
            <w:tcW w:type="dxa" w:w="3200"/>
            <w:shd w:fill="F2F2F2" w:val="clear"/>
            <w:tcMar>
              <w:top w:type="dxa" w:w="80"/>
              <w:left w:type="dxa" w:w="100"/>
              <w:bottom w:type="dxa" w:w="80"/>
              <w:right w:type="dxa" w:w="100"/>
            </w:tcMar>
          </w:tcPr>
          <w:p>
            <w:r>
              <w:rPr>
                <w:b w:val="false"/>
                <w:bCs w:val="false"/>
                <w:color w:val="1A1A1A"/>
                <w:sz w:val="19"/>
                <w:szCs w:val="19"/>
              </w:rPr>
              <w:t xml:space="preserve">Ajustes visuais de tela, apoio à atualização semanal do TAP e ao pitch final.</w:t>
            </w:r>
          </w:p>
        </w:tc>
        <w:tc>
          <w:tcPr>
            <w:tcW w:type="dxa" w:w="2900"/>
            <w:shd w:fill="F2F2F2" w:val="clear"/>
            <w:tcMar>
              <w:top w:type="dxa" w:w="80"/>
              <w:left w:type="dxa" w:w="100"/>
              <w:bottom w:type="dxa" w:w="80"/>
              <w:right w:type="dxa" w:w="100"/>
            </w:tcMar>
          </w:tcPr>
          <w:p>
            <w:r>
              <w:rPr>
                <w:b w:val="false"/>
                <w:bCs w:val="false"/>
                <w:color w:val="1A1A1A"/>
                <w:sz w:val="19"/>
                <w:szCs w:val="19"/>
              </w:rPr>
              <w:t xml:space="preserve">6.5, 8.1, 8.2, 8.3</w:t>
            </w:r>
          </w:p>
        </w:tc>
      </w:tr>
    </w:tbl>
    <w:p>
      <w:pPr>
        <w:spacing w:after="120"/>
      </w:pPr>
      <w:r>
        <w:rPr>
          <w:i/>
          <w:iCs/>
          <w:color w:val="555555"/>
          <w:sz w:val="21"/>
          <w:szCs w:val="21"/>
        </w:rPr>
        <w:t xml:space="preserve">Total: 8 vagas, distribuídas entre os 8 integrantes da equipe. A alocação nominal de cada pessoa em cada frente fica a critério da equipe e pode ser revista a cada sprint — o Scrum Master registra a alocação vigente no quadro Kanban.</w:t>
      </w:r>
    </w:p>
    <w:p>
      <w:pPr>
        <w:pStyle w:val="Heading1"/>
        <w:pBdr>
          <w:bottom w:val="single" w:color="E8722C" w:sz="12" w:space="4"/>
        </w:pBdr>
        <w:spacing w:after="160" w:before="320"/>
      </w:pPr>
      <w:r>
        <w:rPr>
          <w:b/>
          <w:bCs/>
          <w:color w:val="1B2A4A"/>
          <w:sz w:val="30"/>
          <w:szCs w:val="30"/>
        </w:rPr>
        <w:t xml:space="preserve">5. Domínio — Recomendação de Custo-Benefício</w:t>
      </w:r>
    </w:p>
    <w:p>
      <w:pPr>
        <w:spacing w:after="120"/>
      </w:pPr>
      <w:r>
        <w:rPr>
          <w:sz w:val="21"/>
          <w:szCs w:val="21"/>
        </w:rPr>
        <w:t xml:space="preserve">A equipe ainda não definiu quando o domínio será contratado — essa decisão fica para a reunião de segunda-feira. Esta seção serve como referência técnica para essa conversa, com a análise de custo-benefício já pronta.</w:t>
      </w:r>
    </w:p>
    <w:p>
      <w:pPr>
        <w:spacing w:after="120"/>
      </w:pPr>
      <w:r>
        <w:rPr>
          <w:sz w:val="21"/>
          <w:szCs w:val="21"/>
        </w:rPr>
        <w:t xml:space="preserve">O TAP já referencia a marca como “venuo.com.br”. Para essa extensão, o próprio Registro.br (NIC.br), autoridade oficial do domínio .br, cobra uma taxa fixa e transparente por ano, sem o efeito comum de “preço promocional no 1º ano, reajuste alto na renovação” observado em revendedores.</w:t>
      </w:r>
    </w:p>
    <w:p>
      <w:pPr>
        <w:spacing w:after="80" w:before="180"/>
      </w:pPr>
      <w:r>
        <w:rPr>
          <w:b/>
          <w:bCs/>
          <w:color w:val="1B2A4A"/>
          <w:sz w:val="21"/>
          <w:szCs w:val="21"/>
        </w:rPr>
        <w:t xml:space="preserve">5.1 Comparativo</w:t>
      </w:r>
    </w:p>
    <w:p>
      <w:pPr>
        <w:pStyle w:val="ListParagraph"/>
        <w:numPr>
          <w:ilvl w:val="0"/>
          <w:numId w:val="2"/>
        </w:numPr>
        <w:spacing w:after="60"/>
      </w:pPr>
      <w:r>
        <w:rPr>
          <w:sz w:val="21"/>
          <w:szCs w:val="21"/>
        </w:rPr>
        <w:t xml:space="preserve">Registro.br (oficial): cerca de R$ 40/ano, valor estável desde 2017, sem intermediário — melhor custo-benefício para manter o domínio pelos próximos anos, inclusive após o fim do projeto acadêmico.</w:t>
      </w:r>
    </w:p>
    <w:p>
      <w:pPr>
        <w:pStyle w:val="ListParagraph"/>
        <w:numPr>
          <w:ilvl w:val="0"/>
          <w:numId w:val="2"/>
        </w:numPr>
        <w:spacing w:after="60"/>
      </w:pPr>
      <w:r>
        <w:rPr>
          <w:sz w:val="21"/>
          <w:szCs w:val="21"/>
        </w:rPr>
        <w:t xml:space="preserve">Revendedores com desconto de entrada (ex.: GoDaddy, Hostinger): 1º ano por R$ 0,01 a R$ 11 mediante compromisso de 3 anos, mas com renovação anual em torno de R$ 65/ano — mais caro no acumulado de 3 anos do que registrar direto no Registro.br.</w:t>
      </w:r>
    </w:p>
    <w:p>
      <w:pPr>
        <w:pStyle w:val="ListParagraph"/>
        <w:numPr>
          <w:ilvl w:val="0"/>
          <w:numId w:val="2"/>
        </w:numPr>
        <w:spacing w:after="60"/>
      </w:pPr>
      <w:r>
        <w:rPr>
          <w:sz w:val="21"/>
          <w:szCs w:val="21"/>
        </w:rPr>
        <w:t xml:space="preserve">Revendedores internacionais (ex.: Dondominio, OVH): cobrança em dólar/euro, entre R$ 130 e R$ 340/ano — não recomendado para um domínio nacional .com.br.</w:t>
      </w:r>
    </w:p>
    <w:p>
      <w:pPr>
        <w:spacing w:after="80" w:before="180"/>
      </w:pPr>
      <w:r>
        <w:rPr>
          <w:b/>
          <w:bCs/>
          <w:color w:val="1B2A4A"/>
          <w:sz w:val="21"/>
          <w:szCs w:val="21"/>
        </w:rPr>
        <w:t xml:space="preserve">5.2 Recomendação</w:t>
      </w:r>
    </w:p>
    <w:p>
      <w:pPr>
        <w:spacing w:after="120"/>
      </w:pPr>
      <w:r>
        <w:rPr>
          <w:sz w:val="21"/>
          <w:szCs w:val="21"/>
        </w:rPr>
        <w:t xml:space="preserve">Registrar venuo.com.br diretamente no Registro.br (registro.br), sujeito à disponibilidade do nome. É o único registrador que exige apenas CPF/CNPJ (não é necessário CNPJ de empresa aberta), tem o menor custo recorrente do mercado e evita o salto de preço na renovação. A contratação em si fica sob responsabilidade da frente de Infraestrutura/DevOps assim que a equipe confirmar, na reunião de segunda-feira, o nome definitivo e a data de compra.</w:t>
      </w:r>
    </w:p>
    <w:p>
      <w:pPr>
        <w:pStyle w:val="Heading1"/>
        <w:pBdr>
          <w:bottom w:val="single" w:color="E8722C" w:sz="12" w:space="4"/>
        </w:pBdr>
        <w:spacing w:after="160" w:before="320"/>
      </w:pPr>
      <w:r>
        <w:rPr>
          <w:b/>
          <w:bCs/>
          <w:color w:val="1B2A4A"/>
          <w:sz w:val="30"/>
          <w:szCs w:val="30"/>
        </w:rPr>
        <w:t xml:space="preserve">6. Diretrizes de Uso do GitHub</w:t>
      </w:r>
    </w:p>
    <w:p>
      <w:pPr>
        <w:spacing w:after="120"/>
      </w:pPr>
      <w:r>
        <w:rPr>
          <w:sz w:val="21"/>
          <w:szCs w:val="21"/>
        </w:rPr>
        <w:t xml:space="preserve">A equipe já possui repositório e organização criados. A partir desta fase, recomenda-se formalizar o fluxo abaixo:</w:t>
      </w:r>
    </w:p>
    <w:p>
      <w:pPr>
        <w:pStyle w:val="ListParagraph"/>
        <w:numPr>
          <w:ilvl w:val="0"/>
          <w:numId w:val="2"/>
        </w:numPr>
        <w:spacing w:after="60"/>
      </w:pPr>
      <w:r>
        <w:rPr>
          <w:sz w:val="21"/>
          <w:szCs w:val="21"/>
        </w:rPr>
        <w:t xml:space="preserve">Branches: main (protegida, sempre estável) e develop (integração); cada tarefa nasce em uma branch feature/&lt;frente&gt;-&lt;descricao-curta&gt; a partir de develop.</w:t>
      </w:r>
    </w:p>
    <w:p>
      <w:pPr>
        <w:pStyle w:val="ListParagraph"/>
        <w:numPr>
          <w:ilvl w:val="0"/>
          <w:numId w:val="2"/>
        </w:numPr>
        <w:spacing w:after="60"/>
      </w:pPr>
      <w:r>
        <w:rPr>
          <w:sz w:val="21"/>
          <w:szCs w:val="21"/>
        </w:rPr>
        <w:t xml:space="preserve">Commits: mensagens curtas e descritivas, agrupadas por tipo (ex.: feat:, fix:, docs:, chore:) para facilitar o rastreio na atualização semanal do TAP.</w:t>
      </w:r>
    </w:p>
    <w:p>
      <w:pPr>
        <w:pStyle w:val="ListParagraph"/>
        <w:numPr>
          <w:ilvl w:val="0"/>
          <w:numId w:val="2"/>
        </w:numPr>
        <w:spacing w:after="60"/>
      </w:pPr>
      <w:r>
        <w:rPr>
          <w:sz w:val="21"/>
          <w:szCs w:val="21"/>
        </w:rPr>
        <w:t xml:space="preserve">Pull Requests: todo merge em develop passa por um Pull Request com pelo menos 1 revisão de outro integrante, vinculado à issue/card correspondente do Kanban.</w:t>
      </w:r>
    </w:p>
    <w:p>
      <w:pPr>
        <w:pStyle w:val="ListParagraph"/>
        <w:numPr>
          <w:ilvl w:val="0"/>
          <w:numId w:val="2"/>
        </w:numPr>
        <w:spacing w:after="60"/>
      </w:pPr>
      <w:r>
        <w:rPr>
          <w:sz w:val="21"/>
          <w:szCs w:val="21"/>
        </w:rPr>
        <w:t xml:space="preserve">Issues: cada card do quadro Kanban deve ter uma issue correspondente no GitHub, referenciando o pacote da EAP (ex.: EAP 5.1 — Módulo Bares).</w:t>
      </w:r>
    </w:p>
    <w:p>
      <w:pPr>
        <w:pStyle w:val="ListParagraph"/>
        <w:numPr>
          <w:ilvl w:val="0"/>
          <w:numId w:val="2"/>
        </w:numPr>
        <w:spacing w:after="60"/>
      </w:pPr>
      <w:r>
        <w:rPr>
          <w:sz w:val="21"/>
          <w:szCs w:val="21"/>
        </w:rPr>
        <w:t xml:space="preserve">Documentação: a pasta /docs do repositório recebe o TAP atualizado e a Especificação do Algoritmo, versionados junto ao código — a atualização de toda segunda-feira deve gerar um commit docs: nessa pasta.</w:t>
      </w:r>
    </w:p>
    <w:p>
      <w:pPr>
        <w:pStyle w:val="Heading1"/>
        <w:pBdr>
          <w:bottom w:val="single" w:color="E8722C" w:sz="12" w:space="4"/>
        </w:pBdr>
        <w:spacing w:after="160" w:before="320"/>
      </w:pPr>
      <w:r>
        <w:rPr>
          <w:b/>
          <w:bCs/>
          <w:color w:val="1B2A4A"/>
          <w:sz w:val="30"/>
          <w:szCs w:val="30"/>
        </w:rPr>
        <w:t xml:space="preserve">7. Estrutura do Quadro Kanban</w:t>
      </w:r>
    </w:p>
    <w:p>
      <w:pPr>
        <w:spacing w:after="120"/>
      </w:pPr>
      <w:r>
        <w:rPr>
          <w:sz w:val="21"/>
          <w:szCs w:val="21"/>
        </w:rPr>
        <w:t xml:space="preserve">Recomenda-se um limite de trabalho em andamento (WIP) de 2 cards por pessoa entre as colunas “Em Desenvolvimento” e “Revisão”, para evitar dispersão entre as 6 frentes.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c>
          <w:tcPr>
            <w:tcW w:type="dxa" w:w="1600"/>
            <w:shd w:fill="1B2A4A" w:val="clear"/>
            <w:tcMar>
              <w:top w:type="dxa" w:w="80"/>
              <w:left w:type="dxa" w:w="100"/>
              <w:bottom w:type="dxa" w:w="80"/>
              <w:right w:type="dxa" w:w="100"/>
            </w:tcMar>
          </w:tcPr>
          <w:p>
            <w:r>
              <w:rPr>
                <w:b/>
                <w:bCs/>
                <w:color w:val="FFFFFF"/>
                <w:sz w:val="19"/>
                <w:szCs w:val="19"/>
              </w:rPr>
              <w:t xml:space="preserve">Coluna</w:t>
            </w:r>
          </w:p>
        </w:tc>
        <w:tc>
          <w:tcPr>
            <w:tcW w:type="dxa" w:w="4000"/>
            <w:shd w:fill="1B2A4A" w:val="clear"/>
            <w:tcMar>
              <w:top w:type="dxa" w:w="80"/>
              <w:left w:type="dxa" w:w="100"/>
              <w:bottom w:type="dxa" w:w="80"/>
              <w:right w:type="dxa" w:w="100"/>
            </w:tcMar>
          </w:tcPr>
          <w:p>
            <w:r>
              <w:rPr>
                <w:b/>
                <w:bCs/>
                <w:color w:val="FFFFFF"/>
                <w:sz w:val="19"/>
                <w:szCs w:val="19"/>
              </w:rPr>
              <w:t xml:space="preserve">Critério de entrada</w:t>
            </w:r>
          </w:p>
        </w:tc>
        <w:tc>
          <w:tcPr>
            <w:tcW w:type="dxa" w:w="4000"/>
            <w:shd w:fill="1B2A4A" w:val="clear"/>
            <w:tcMar>
              <w:top w:type="dxa" w:w="80"/>
              <w:left w:type="dxa" w:w="100"/>
              <w:bottom w:type="dxa" w:w="80"/>
              <w:right w:type="dxa" w:w="100"/>
            </w:tcMar>
          </w:tcPr>
          <w:p>
            <w:r>
              <w:rPr>
                <w:b/>
                <w:bCs/>
                <w:color w:val="FFFFFF"/>
                <w:sz w:val="19"/>
                <w:szCs w:val="19"/>
              </w:rPr>
              <w:t xml:space="preserve">Critério de saída (Definition of Done)</w:t>
            </w:r>
          </w:p>
        </w:tc>
      </w:tr>
      <w:tr>
        <w:tc>
          <w:tcPr>
            <w:tcW w:type="dxa" w:w="1600"/>
            <w:shd w:fill="FFFFFF" w:val="clear"/>
            <w:tcMar>
              <w:top w:type="dxa" w:w="80"/>
              <w:left w:type="dxa" w:w="100"/>
              <w:bottom w:type="dxa" w:w="80"/>
              <w:right w:type="dxa" w:w="100"/>
            </w:tcMar>
          </w:tcPr>
          <w:p>
            <w:r>
              <w:rPr>
                <w:b/>
                <w:bCs/>
                <w:color w:val="1A1A1A"/>
                <w:sz w:val="19"/>
                <w:szCs w:val="19"/>
              </w:rPr>
              <w:t xml:space="preserve">Backlog</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Item mapeado na EAP ou levantado em reunião semanal.</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Item detalhado, com pacote EAP e sprint-alvo definidos.</w:t>
            </w:r>
          </w:p>
        </w:tc>
      </w:tr>
      <w:tr>
        <w:tc>
          <w:tcPr>
            <w:tcW w:type="dxa" w:w="1600"/>
            <w:shd w:fill="F2F2F2" w:val="clear"/>
            <w:tcMar>
              <w:top w:type="dxa" w:w="80"/>
              <w:left w:type="dxa" w:w="100"/>
              <w:bottom w:type="dxa" w:w="80"/>
              <w:right w:type="dxa" w:w="100"/>
            </w:tcMar>
          </w:tcPr>
          <w:p>
            <w:r>
              <w:rPr>
                <w:b/>
                <w:bCs/>
                <w:color w:val="1A1A1A"/>
                <w:sz w:val="19"/>
                <w:szCs w:val="19"/>
              </w:rPr>
              <w:t xml:space="preserve">A Fazer (Sprint)</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Selecionado no planejamento semanal (segunda-feira).</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Responsável e branch criados no GitHub.</w:t>
            </w:r>
          </w:p>
        </w:tc>
      </w:tr>
      <w:tr>
        <w:tc>
          <w:tcPr>
            <w:tcW w:type="dxa" w:w="1600"/>
            <w:shd w:fill="FFFFFF" w:val="clear"/>
            <w:tcMar>
              <w:top w:type="dxa" w:w="80"/>
              <w:left w:type="dxa" w:w="100"/>
              <w:bottom w:type="dxa" w:w="80"/>
              <w:right w:type="dxa" w:w="100"/>
            </w:tcMar>
          </w:tcPr>
          <w:p>
            <w:r>
              <w:rPr>
                <w:b/>
                <w:bCs/>
                <w:color w:val="1A1A1A"/>
                <w:sz w:val="19"/>
                <w:szCs w:val="19"/>
              </w:rPr>
              <w:t xml:space="preserve">Em Desenvolvimento</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Branch aberta a partir de develop.</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Código funcional localmente, commits seguindo o padrão adotado.</w:t>
            </w:r>
          </w:p>
        </w:tc>
      </w:tr>
      <w:tr>
        <w:tc>
          <w:tcPr>
            <w:tcW w:type="dxa" w:w="1600"/>
            <w:shd w:fill="F2F2F2" w:val="clear"/>
            <w:tcMar>
              <w:top w:type="dxa" w:w="80"/>
              <w:left w:type="dxa" w:w="100"/>
              <w:bottom w:type="dxa" w:w="80"/>
              <w:right w:type="dxa" w:w="100"/>
            </w:tcMar>
          </w:tcPr>
          <w:p>
            <w:r>
              <w:rPr>
                <w:b/>
                <w:bCs/>
                <w:color w:val="1A1A1A"/>
                <w:sz w:val="19"/>
                <w:szCs w:val="19"/>
              </w:rPr>
              <w:t xml:space="preserve">Revisão (Pull Request)</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PR aberto para a branch develop.</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Ao menos 1 revisão de par aprovada, sem conflitos.</w:t>
            </w:r>
          </w:p>
        </w:tc>
      </w:tr>
      <w:tr>
        <w:tc>
          <w:tcPr>
            <w:tcW w:type="dxa" w:w="1600"/>
            <w:shd w:fill="FFFFFF" w:val="clear"/>
            <w:tcMar>
              <w:top w:type="dxa" w:w="80"/>
              <w:left w:type="dxa" w:w="100"/>
              <w:bottom w:type="dxa" w:w="80"/>
              <w:right w:type="dxa" w:w="100"/>
            </w:tcMar>
          </w:tcPr>
          <w:p>
            <w:r>
              <w:rPr>
                <w:b/>
                <w:bCs/>
                <w:color w:val="1A1A1A"/>
                <w:sz w:val="19"/>
                <w:szCs w:val="19"/>
              </w:rPr>
              <w:t xml:space="preserve">Testes / QA</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PR aprovado e mesclado em develop.</w:t>
            </w:r>
          </w:p>
        </w:tc>
        <w:tc>
          <w:tcPr>
            <w:tcW w:type="dxa" w:w="4000"/>
            <w:shd w:fill="FFFFFF" w:val="clear"/>
            <w:tcMar>
              <w:top w:type="dxa" w:w="80"/>
              <w:left w:type="dxa" w:w="100"/>
              <w:bottom w:type="dxa" w:w="80"/>
              <w:right w:type="dxa" w:w="100"/>
            </w:tcMar>
          </w:tcPr>
          <w:p>
            <w:r>
              <w:rPr>
                <w:b w:val="false"/>
                <w:bCs w:val="false"/>
                <w:color w:val="1A1A1A"/>
                <w:sz w:val="19"/>
                <w:szCs w:val="19"/>
              </w:rPr>
              <w:t xml:space="preserve">Teste manual ou automatizado validado pela frente de QA.</w:t>
            </w:r>
          </w:p>
        </w:tc>
      </w:tr>
      <w:tr>
        <w:tc>
          <w:tcPr>
            <w:tcW w:type="dxa" w:w="1600"/>
            <w:shd w:fill="F2F2F2" w:val="clear"/>
            <w:tcMar>
              <w:top w:type="dxa" w:w="80"/>
              <w:left w:type="dxa" w:w="100"/>
              <w:bottom w:type="dxa" w:w="80"/>
              <w:right w:type="dxa" w:w="100"/>
            </w:tcMar>
          </w:tcPr>
          <w:p>
            <w:r>
              <w:rPr>
                <w:b/>
                <w:bCs/>
                <w:color w:val="1A1A1A"/>
                <w:sz w:val="19"/>
                <w:szCs w:val="19"/>
              </w:rPr>
              <w:t xml:space="preserve">Concluído</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Validado em QA.</w:t>
            </w:r>
          </w:p>
        </w:tc>
        <w:tc>
          <w:tcPr>
            <w:tcW w:type="dxa" w:w="4000"/>
            <w:shd w:fill="F2F2F2" w:val="clear"/>
            <w:tcMar>
              <w:top w:type="dxa" w:w="80"/>
              <w:left w:type="dxa" w:w="100"/>
              <w:bottom w:type="dxa" w:w="80"/>
              <w:right w:type="dxa" w:w="100"/>
            </w:tcMar>
          </w:tcPr>
          <w:p>
            <w:r>
              <w:rPr>
                <w:b w:val="false"/>
                <w:bCs w:val="false"/>
                <w:color w:val="1A1A1A"/>
                <w:sz w:val="19"/>
                <w:szCs w:val="19"/>
              </w:rPr>
              <w:t xml:space="preserve">Disponível na entrega semanal de quarta-feira, TAP atualizado se aplicável.</w:t>
            </w:r>
          </w:p>
        </w:tc>
      </w:tr>
    </w:tbl>
    <w:p>
      <w:pPr>
        <w:pStyle w:val="Heading1"/>
        <w:pBdr>
          <w:bottom w:val="single" w:color="E8722C" w:sz="12" w:space="4"/>
        </w:pBdr>
        <w:spacing w:after="160" w:before="320"/>
      </w:pPr>
      <w:r>
        <w:rPr>
          <w:b/>
          <w:bCs/>
          <w:color w:val="1B2A4A"/>
          <w:sz w:val="30"/>
          <w:szCs w:val="30"/>
        </w:rPr>
        <w:t xml:space="preserve">8. Cronograma de Sprints (16/09/2026 a 15/11/2026)</w:t>
      </w:r>
    </w:p>
    <w:p>
      <w:pPr>
        <w:spacing w:after="120"/>
      </w:pPr>
      <w:r>
        <w:rPr>
          <w:sz w:val="21"/>
          <w:szCs w:val="21"/>
        </w:rPr>
        <w:t xml:space="preserve">Nove sprints semanais (a última mais curta, de encerramento), cada uma iniciando quarta-feira e entregando incremento funcional na quarta-feira seguinte, alinhadas às tecnologias definidas no Escopo Técnico (Python/FastAPI, PostgreSQL/Docker, HTML/CSS/JS, GitHub) e às regras da Especificação Técnica do Algoritmo.</w:t>
      </w:r>
    </w:p>
    <w:p>
      <w:pPr>
        <w:spacing w:after="80" w:before="180"/>
      </w:pPr>
      <w:r>
        <w:rPr>
          <w:b/>
          <w:bCs/>
          <w:color w:val="1B2A4A"/>
          <w:sz w:val="21"/>
          <w:szCs w:val="21"/>
        </w:rPr>
        <w:t xml:space="preserve">Sprint 1 — 16/09 a 22/09/2026</w:t>
      </w:r>
    </w:p>
    <w:p>
      <w:pPr>
        <w:spacing w:after="120"/>
      </w:pPr>
      <w:r>
        <w:rPr>
          <w:b/>
          <w:bCs/>
          <w:sz w:val="21"/>
          <w:szCs w:val="21"/>
        </w:rPr>
        <w:t xml:space="preserve">Objetivo da sprint: Sair do protótipo Figma para o primeiro código executável e colocar toda a equipe trabalhando no mesmo ambiente local — esta é a prioridade da semana.</w:t>
      </w:r>
    </w:p>
    <w:p>
      <w:pPr>
        <w:spacing w:after="120"/>
      </w:pPr>
      <w:r>
        <w:rPr>
          <w:i/>
          <w:iCs/>
          <w:color w:val="444444"/>
          <w:sz w:val="21"/>
          <w:szCs w:val="21"/>
        </w:rPr>
        <w:t xml:space="preserve">Tecnologias em foco: GitHub (branches/PR), Docker Desktop + Docker Compose + PostgreSQL, FastAPI (esqueleto), HTML/CSS/JS.</w:t>
      </w:r>
    </w:p>
    <w:p>
      <w:pPr>
        <w:pStyle w:val="ListParagraph"/>
        <w:numPr>
          <w:ilvl w:val="0"/>
          <w:numId w:val="2"/>
        </w:numPr>
        <w:spacing w:after="60"/>
      </w:pPr>
      <w:r>
        <w:rPr>
          <w:sz w:val="21"/>
          <w:szCs w:val="21"/>
        </w:rPr>
        <w:t xml:space="preserve">Infra/DevOps: estruturar as branches main (protegida) e develop, e criar um template básico de Pull Request no GitHub.</w:t>
      </w:r>
    </w:p>
    <w:p>
      <w:pPr>
        <w:pStyle w:val="ListParagraph"/>
        <w:numPr>
          <w:ilvl w:val="1"/>
          <w:numId w:val="2"/>
        </w:numPr>
        <w:spacing w:after="60"/>
      </w:pPr>
      <w:r>
        <w:rPr>
          <w:i/>
          <w:iCs/>
          <w:color w:val="555555"/>
          <w:sz w:val="21"/>
          <w:szCs w:val="21"/>
        </w:rPr>
        <w:t xml:space="preserve">Como fazer, em resumo: main fica sempre estável (é o que "funciona de verdade"); develop é onde tudo é integrado antes de ir para main. O template de PR é só um textinho padrão que aparece toda vez que alguém abre um Pull Request, lembrando o que descrever (o que foi feito, como testar).</w:t>
      </w:r>
    </w:p>
    <w:p>
      <w:pPr>
        <w:pStyle w:val="ListParagraph"/>
        <w:numPr>
          <w:ilvl w:val="0"/>
          <w:numId w:val="2"/>
        </w:numPr>
        <w:spacing w:after="60"/>
      </w:pPr>
      <w:r>
        <w:rPr>
          <w:sz w:val="21"/>
          <w:szCs w:val="21"/>
        </w:rPr>
        <w:t xml:space="preserve">Infra/DevOps (prioridade da semana): criar o arquivo docker-compose.yml na raiz do repositório, definindo os serviços api (FastAPI) e db (PostgreSQL).</w:t>
      </w:r>
    </w:p>
    <w:p>
      <w:pPr>
        <w:pStyle w:val="ListParagraph"/>
        <w:numPr>
          <w:ilvl w:val="1"/>
          <w:numId w:val="2"/>
        </w:numPr>
        <w:spacing w:after="60"/>
      </w:pPr>
      <w:r>
        <w:rPr>
          <w:i/>
          <w:iCs/>
          <w:color w:val="555555"/>
          <w:sz w:val="21"/>
          <w:szCs w:val="21"/>
        </w:rPr>
        <w:t xml:space="preserve">Como fazer, em resumo: É um arquivo de texto que descreve quais "caixinhas" (containers) o projeto precisa — uma para rodar a API e outra para o banco de dados. Com ele pronto e versionado no GitHub, todo mundo baixa o mesmo arquivo e sobe o mesmo ambiente.</w:t>
      </w:r>
    </w:p>
    <w:p>
      <w:pPr>
        <w:pStyle w:val="ListParagraph"/>
        <w:numPr>
          <w:ilvl w:val="0"/>
          <w:numId w:val="2"/>
        </w:numPr>
        <w:spacing w:after="60"/>
      </w:pPr>
      <w:r>
        <w:rPr>
          <w:sz w:val="21"/>
          <w:szCs w:val="21"/>
        </w:rPr>
        <w:t xml:space="preserve">Infra/DevOps (prioridade da semana): cada integrante instala o Docker Desktop e valida o ambiente local rodando docker-compose up.</w:t>
      </w:r>
    </w:p>
    <w:p>
      <w:pPr>
        <w:pStyle w:val="ListParagraph"/>
        <w:numPr>
          <w:ilvl w:val="1"/>
          <w:numId w:val="2"/>
        </w:numPr>
        <w:spacing w:after="60"/>
      </w:pPr>
      <w:r>
        <w:rPr>
          <w:i/>
          <w:iCs/>
          <w:color w:val="555555"/>
          <w:sz w:val="21"/>
          <w:szCs w:val="21"/>
        </w:rPr>
        <w:t xml:space="preserve">Como fazer, em resumo: Docker Desktop é o aplicativo que roda os containers no computador de cada um (Windows/Mac/Linux). Depois de instalado, basta abrir a pasta do projeto no terminal e digitar docker-compose up: a API e o banco sobem juntos, iguais em todas as máquinas — resolve o clássico "na minha máquina funciona".</w:t>
      </w:r>
    </w:p>
    <w:p>
      <w:pPr>
        <w:pStyle w:val="ListParagraph"/>
        <w:numPr>
          <w:ilvl w:val="0"/>
          <w:numId w:val="2"/>
        </w:numPr>
        <w:spacing w:after="60"/>
      </w:pPr>
      <w:r>
        <w:rPr>
          <w:sz w:val="21"/>
          <w:szCs w:val="21"/>
        </w:rPr>
        <w:t xml:space="preserve">Infra/DevOps: definir um arquivo .env com as variáveis do banco (usuário, senha, porta) e adicioná-lo ao .gitignore.</w:t>
      </w:r>
    </w:p>
    <w:p>
      <w:pPr>
        <w:pStyle w:val="ListParagraph"/>
        <w:numPr>
          <w:ilvl w:val="1"/>
          <w:numId w:val="2"/>
        </w:numPr>
        <w:spacing w:after="60"/>
      </w:pPr>
      <w:r>
        <w:rPr>
          <w:i/>
          <w:iCs/>
          <w:color w:val="555555"/>
          <w:sz w:val="21"/>
          <w:szCs w:val="21"/>
        </w:rPr>
        <w:t xml:space="preserve">Como fazer, em resumo: É onde ficam as configurações "sensíveis" do ambiente local. Esse arquivo não vai para o GitHub por segurança; o conteúdo é combinado uma vez entre a equipe (ex.: enviado no grupo do time) e cada um cola o mesmo arquivo na sua máquina.</w:t>
      </w:r>
    </w:p>
    <w:p>
      <w:pPr>
        <w:pStyle w:val="ListParagraph"/>
        <w:numPr>
          <w:ilvl w:val="0"/>
          <w:numId w:val="2"/>
        </w:numPr>
        <w:spacing w:after="60"/>
      </w:pPr>
      <w:r>
        <w:rPr>
          <w:sz w:val="21"/>
          <w:szCs w:val="21"/>
        </w:rPr>
        <w:t xml:space="preserve">Banco de Dados: revisar o Diagrama Entidade-Relacionamento (DER) já produzido e traduzi-lo em script de criação de schema inicial (estabelecimentos, categorias).</w:t>
      </w:r>
    </w:p>
    <w:p>
      <w:pPr>
        <w:pStyle w:val="ListParagraph"/>
        <w:numPr>
          <w:ilvl w:val="1"/>
          <w:numId w:val="2"/>
        </w:numPr>
        <w:spacing w:after="60"/>
      </w:pPr>
      <w:r>
        <w:rPr>
          <w:i/>
          <w:iCs/>
          <w:color w:val="555555"/>
          <w:sz w:val="21"/>
          <w:szCs w:val="21"/>
        </w:rPr>
        <w:t xml:space="preserve">Como fazer, em resumo: O DER é o desenho das tabelas do banco que a equipe já fez. Aqui é só transformar esse desenho em comandos SQL (CREATE TABLE...) que o PostgreSQL entende, para o banco já nascer com a estrutura combinada dentro do container.</w:t>
      </w:r>
    </w:p>
    <w:p>
      <w:pPr>
        <w:pStyle w:val="ListParagraph"/>
        <w:numPr>
          <w:ilvl w:val="0"/>
          <w:numId w:val="2"/>
        </w:numPr>
        <w:spacing w:after="60"/>
      </w:pPr>
      <w:r>
        <w:rPr>
          <w:sz w:val="21"/>
          <w:szCs w:val="21"/>
        </w:rPr>
        <w:t xml:space="preserve">Front-end: construir a Homepage em HTML/CSS/JS (busca, filtros rápidos, destaques), reaproveitando o layout do protótipo Figma.</w:t>
      </w:r>
    </w:p>
    <w:p>
      <w:pPr>
        <w:pStyle w:val="ListParagraph"/>
        <w:numPr>
          <w:ilvl w:val="1"/>
          <w:numId w:val="2"/>
        </w:numPr>
        <w:spacing w:after="60"/>
      </w:pPr>
      <w:r>
        <w:rPr>
          <w:i/>
          <w:iCs/>
          <w:color w:val="555555"/>
          <w:sz w:val="21"/>
          <w:szCs w:val="21"/>
        </w:rPr>
        <w:t xml:space="preserve">Como fazer, em resumo: É pegar a tela que já está pronta e aprovada no Figma e recriá-la com código de verdade — por enquanto só a parte visual, sem ligar a nenhum dado real ainda.</w:t>
      </w:r>
    </w:p>
    <w:p>
      <w:pPr>
        <w:pStyle w:val="ListParagraph"/>
        <w:numPr>
          <w:ilvl w:val="0"/>
          <w:numId w:val="2"/>
        </w:numPr>
        <w:spacing w:after="60"/>
      </w:pPr>
      <w:r>
        <w:rPr>
          <w:sz w:val="21"/>
          <w:szCs w:val="21"/>
        </w:rPr>
        <w:t xml:space="preserve">Back-end: endpoint de health-check (GET /status) para validar que a API está no ar.</w:t>
      </w:r>
    </w:p>
    <w:p>
      <w:pPr>
        <w:pStyle w:val="ListParagraph"/>
        <w:numPr>
          <w:ilvl w:val="1"/>
          <w:numId w:val="2"/>
        </w:numPr>
        <w:spacing w:after="60"/>
      </w:pPr>
      <w:r>
        <w:rPr>
          <w:i/>
          <w:iCs/>
          <w:color w:val="555555"/>
          <w:sz w:val="21"/>
          <w:szCs w:val="21"/>
        </w:rPr>
        <w:t xml:space="preserve">Como fazer, em resumo: É a rota mais simples possível da API — só responde algo como "ok" — usada para confirmar que o FastAPI está rodando certinho dentro do Docker antes de construir qualquer coisa mais complexa.</w:t>
      </w:r>
    </w:p>
    <w:p>
      <w:pPr>
        <w:pStyle w:val="ListParagraph"/>
        <w:numPr>
          <w:ilvl w:val="0"/>
          <w:numId w:val="2"/>
        </w:numPr>
        <w:spacing w:after="60"/>
      </w:pPr>
      <w:r>
        <w:rPr>
          <w:sz w:val="21"/>
          <w:szCs w:val="21"/>
        </w:rPr>
        <w:t xml:space="preserve">Documentação: abrir a pasta /docs no repositório com o TAP e a Especificação do Algoritmo vigentes.</w:t>
      </w:r>
    </w:p>
    <w:p>
      <w:pPr>
        <w:pStyle w:val="ListParagraph"/>
        <w:numPr>
          <w:ilvl w:val="1"/>
          <w:numId w:val="2"/>
        </w:numPr>
        <w:spacing w:after="60"/>
      </w:pPr>
      <w:r>
        <w:rPr>
          <w:i/>
          <w:iCs/>
          <w:color w:val="555555"/>
          <w:sz w:val="21"/>
          <w:szCs w:val="21"/>
        </w:rPr>
        <w:t xml:space="preserve">Como fazer, em resumo: Só criar essa pasta no repositório e colocar dentro os arquivos atuais do TAP e da Especificação do Algoritmo, para que as próximas versões deles também fiquem versionadas junto com o código.</w:t>
      </w:r>
    </w:p>
    <w:p>
      <w:pPr>
        <w:spacing w:after="120"/>
      </w:pPr>
      <w:r>
        <w:rPr>
          <w:i/>
          <w:iCs/>
          <w:color w:val="E8722C"/>
          <w:sz w:val="21"/>
          <w:szCs w:val="21"/>
        </w:rPr>
        <w:t xml:space="preserve">Ponto de decisão da equipe: A definição de qual domínio contratar e o fechamento da compra ficam para a reunião de segunda-feira (ver recomendação de custo-benefício na seção 5) — ainda não há data de aquisição marcada.</w:t>
      </w:r>
    </w:p>
    <w:p>
      <w:pPr>
        <w:spacing w:after="220"/>
      </w:pPr>
      <w:r>
        <w:rPr>
          <w:b/>
          <w:bCs/>
          <w:color w:val="1B2A4A"/>
          <w:sz w:val="21"/>
          <w:szCs w:val="21"/>
        </w:rPr>
        <w:t xml:space="preserve">Entrega de quarta-feira: </w:t>
      </w:r>
      <w:r>
        <w:rPr>
          <w:sz w:val="21"/>
          <w:szCs w:val="21"/>
        </w:rPr>
        <w:t xml:space="preserve">Homepage responsiva publicada (estática, sem integração com API ainda) e ambiente Docker compartilhado funcionando na máquina de todos os integrantes.</w:t>
      </w:r>
    </w:p>
    <w:p>
      <w:pPr>
        <w:spacing w:after="80" w:before="180"/>
      </w:pPr>
      <w:r>
        <w:rPr>
          <w:b/>
          <w:bCs/>
          <w:color w:val="1B2A4A"/>
          <w:sz w:val="21"/>
          <w:szCs w:val="21"/>
        </w:rPr>
        <w:t xml:space="preserve">Sprint 2 — 23/09 a 29/09/2026</w:t>
      </w:r>
    </w:p>
    <w:p>
      <w:pPr>
        <w:spacing w:after="120"/>
      </w:pPr>
      <w:r>
        <w:rPr>
          <w:b/>
          <w:bCs/>
          <w:sz w:val="21"/>
          <w:szCs w:val="21"/>
        </w:rPr>
        <w:t xml:space="preserve">Objetivo da sprint: Implementar a autenticação obrigatória (RF de alta prioridade do Escopo Técnico) — pré-requisito para favoritar e para o fluxo de demonstração.</w:t>
      </w:r>
    </w:p>
    <w:p>
      <w:pPr>
        <w:spacing w:after="120"/>
      </w:pPr>
      <w:r>
        <w:rPr>
          <w:i/>
          <w:iCs/>
          <w:color w:val="444444"/>
          <w:sz w:val="21"/>
          <w:szCs w:val="21"/>
        </w:rPr>
        <w:t xml:space="preserve">Tecnologias em foco: FastAPI (autenticação/JWT), PostgreSQL (tabela de usuários), HTML/CSS/JS.</w:t>
      </w:r>
    </w:p>
    <w:p>
      <w:pPr>
        <w:pStyle w:val="ListParagraph"/>
        <w:numPr>
          <w:ilvl w:val="0"/>
          <w:numId w:val="2"/>
        </w:numPr>
        <w:spacing w:after="60"/>
      </w:pPr>
      <w:r>
        <w:rPr>
          <w:sz w:val="21"/>
          <w:szCs w:val="21"/>
        </w:rPr>
        <w:t xml:space="preserve">Banco de Dados: tabela de usuários com os atributos de personalização (estado civil, presença de filhos, faixa etária, poder aquisitivo).</w:t>
      </w:r>
    </w:p>
    <w:p>
      <w:pPr>
        <w:pStyle w:val="ListParagraph"/>
        <w:numPr>
          <w:ilvl w:val="1"/>
          <w:numId w:val="2"/>
        </w:numPr>
        <w:spacing w:after="60"/>
      </w:pPr>
      <w:r>
        <w:rPr>
          <w:i/>
          <w:iCs/>
          <w:color w:val="555555"/>
          <w:sz w:val="21"/>
          <w:szCs w:val="21"/>
        </w:rPr>
        <w:t xml:space="preserve">Como fazer, em resumo: Criar, dentro do banco que já está rodando no Docker, a tabela onde ficam guardados os dados de cada usuário cadastrado.</w:t>
      </w:r>
    </w:p>
    <w:p>
      <w:pPr>
        <w:pStyle w:val="ListParagraph"/>
        <w:numPr>
          <w:ilvl w:val="0"/>
          <w:numId w:val="2"/>
        </w:numPr>
        <w:spacing w:after="60"/>
      </w:pPr>
      <w:r>
        <w:rPr>
          <w:sz w:val="21"/>
          <w:szCs w:val="21"/>
        </w:rPr>
        <w:t xml:space="preserve">Back-end: endpoints de cadastro e login (cadastro B2C obrigatório); login social listado como item de baixa prioridade, só entra se sobrar tempo.</w:t>
      </w:r>
    </w:p>
    <w:p>
      <w:pPr>
        <w:pStyle w:val="ListParagraph"/>
        <w:numPr>
          <w:ilvl w:val="1"/>
          <w:numId w:val="2"/>
        </w:numPr>
        <w:spacing w:after="60"/>
      </w:pPr>
      <w:r>
        <w:rPr>
          <w:i/>
          <w:iCs/>
          <w:color w:val="555555"/>
          <w:sz w:val="21"/>
          <w:szCs w:val="21"/>
        </w:rPr>
        <w:t xml:space="preserve">Como fazer, em resumo: Cadastro é a rota que recebe os dados do usuário e grava no banco (com a senha protegida/criptografada, nunca em texto puro); login é a rota que confere email e senha e devolve um "token" (JWT) que a plataforma usa depois para saber quem está logado.</w:t>
      </w:r>
    </w:p>
    <w:p>
      <w:pPr>
        <w:pStyle w:val="ListParagraph"/>
        <w:numPr>
          <w:ilvl w:val="0"/>
          <w:numId w:val="2"/>
        </w:numPr>
        <w:spacing w:after="60"/>
      </w:pPr>
      <w:r>
        <w:rPr>
          <w:sz w:val="21"/>
          <w:szCs w:val="21"/>
        </w:rPr>
        <w:t xml:space="preserve">Front-end: telas de cadastro e login conectadas à API.</w:t>
      </w:r>
    </w:p>
    <w:p>
      <w:pPr>
        <w:pStyle w:val="ListParagraph"/>
        <w:numPr>
          <w:ilvl w:val="1"/>
          <w:numId w:val="2"/>
        </w:numPr>
        <w:spacing w:after="60"/>
      </w:pPr>
      <w:r>
        <w:rPr>
          <w:i/>
          <w:iCs/>
          <w:color w:val="555555"/>
          <w:sz w:val="21"/>
          <w:szCs w:val="21"/>
        </w:rPr>
        <w:t xml:space="preserve">Como fazer, em resumo: Ligar os formulários (campos que o usuário preenche na tela) às rotas de cadastro/login do back-end, para que clicar em "Entrar" realmente grave ou confira os dados no banco.</w:t>
      </w:r>
    </w:p>
    <w:p>
      <w:pPr>
        <w:pStyle w:val="ListParagraph"/>
        <w:numPr>
          <w:ilvl w:val="0"/>
          <w:numId w:val="2"/>
        </w:numPr>
        <w:spacing w:after="60"/>
      </w:pPr>
      <w:r>
        <w:rPr>
          <w:sz w:val="21"/>
          <w:szCs w:val="21"/>
        </w:rPr>
        <w:t xml:space="preserve">QA: testes de validação dos endpoints de autenticação (casos de sucesso e erro).</w:t>
      </w:r>
    </w:p>
    <w:p>
      <w:pPr>
        <w:pStyle w:val="ListParagraph"/>
        <w:numPr>
          <w:ilvl w:val="1"/>
          <w:numId w:val="2"/>
        </w:numPr>
        <w:spacing w:after="60"/>
      </w:pPr>
      <w:r>
        <w:rPr>
          <w:i/>
          <w:iCs/>
          <w:color w:val="555555"/>
          <w:sz w:val="21"/>
          <w:szCs w:val="21"/>
        </w:rPr>
        <w:t xml:space="preserve">Como fazer, em resumo: Testar de propósito com dados certos e errados (senha errada, email já cadastrado, campo vazio) para garantir que a API responde do jeito esperado em cada situação, e não só no "caminho feliz".</w:t>
      </w:r>
    </w:p>
    <w:p>
      <w:pPr>
        <w:spacing w:after="220"/>
      </w:pPr>
      <w:r>
        <w:rPr>
          <w:b/>
          <w:bCs/>
          <w:color w:val="1B2A4A"/>
          <w:sz w:val="21"/>
          <w:szCs w:val="21"/>
        </w:rPr>
        <w:t xml:space="preserve">Entrega de quarta-feira: </w:t>
      </w:r>
      <w:r>
        <w:rPr>
          <w:sz w:val="21"/>
          <w:szCs w:val="21"/>
        </w:rPr>
        <w:t xml:space="preserve">Cadastro B2C e login funcionando de ponta a ponta (front-end conectado à API).</w:t>
      </w:r>
    </w:p>
    <w:p>
      <w:pPr>
        <w:spacing w:after="80" w:before="180"/>
      </w:pPr>
      <w:r>
        <w:rPr>
          <w:b/>
          <w:bCs/>
          <w:color w:val="1B2A4A"/>
          <w:sz w:val="21"/>
          <w:szCs w:val="21"/>
        </w:rPr>
        <w:t xml:space="preserve">Sprint 3 — 30/09 a 06/10/2026</w:t>
      </w:r>
    </w:p>
    <w:p>
      <w:pPr>
        <w:spacing w:after="120"/>
      </w:pPr>
      <w:r>
        <w:rPr>
          <w:b/>
          <w:bCs/>
          <w:sz w:val="21"/>
          <w:szCs w:val="21"/>
        </w:rPr>
        <w:t xml:space="preserve">Objetivo da sprint: Entregar a Tela Inicial com busca/filtros e a Tela de Resultados ordenada por geolocalização, conforme o Escopo de Telas do 2º Período.</w:t>
      </w:r>
    </w:p>
    <w:p>
      <w:pPr>
        <w:spacing w:after="120"/>
      </w:pPr>
      <w:r>
        <w:rPr>
          <w:i/>
          <w:iCs/>
          <w:color w:val="444444"/>
          <w:sz w:val="21"/>
          <w:szCs w:val="21"/>
        </w:rPr>
        <w:t xml:space="preserve">Tecnologias em foco: FastAPI, PostgreSQL (massa de dados de teste), JavaScript (geolocalização do navegador), HTML/CSS.</w:t>
      </w:r>
    </w:p>
    <w:p>
      <w:pPr>
        <w:pStyle w:val="ListParagraph"/>
        <w:numPr>
          <w:ilvl w:val="0"/>
          <w:numId w:val="2"/>
        </w:numPr>
        <w:spacing w:after="60"/>
      </w:pPr>
      <w:r>
        <w:rPr>
          <w:sz w:val="21"/>
          <w:szCs w:val="21"/>
        </w:rPr>
        <w:t xml:space="preserve">Banco de Dados: popular a base com estabelecimentos de teste da Região Metropolitana de Goiânia (bares, restaurantes, cafeterias, eventos).</w:t>
      </w:r>
    </w:p>
    <w:p>
      <w:pPr>
        <w:pStyle w:val="ListParagraph"/>
        <w:numPr>
          <w:ilvl w:val="1"/>
          <w:numId w:val="2"/>
        </w:numPr>
        <w:spacing w:after="60"/>
      </w:pPr>
      <w:r>
        <w:rPr>
          <w:i/>
          <w:iCs/>
          <w:color w:val="555555"/>
          <w:sz w:val="21"/>
          <w:szCs w:val="21"/>
        </w:rPr>
        <w:t xml:space="preserve">Como fazer, em resumo: Inserir manualmente ou por script alguns registros fictícios (ou reais) de estabelecimentos, só para existir o que buscar — isso é chamado de "seed" do banco.</w:t>
      </w:r>
    </w:p>
    <w:p>
      <w:pPr>
        <w:pStyle w:val="ListParagraph"/>
        <w:numPr>
          <w:ilvl w:val="0"/>
          <w:numId w:val="2"/>
        </w:numPr>
        <w:spacing w:after="60"/>
      </w:pPr>
      <w:r>
        <w:rPr>
          <w:sz w:val="21"/>
          <w:szCs w:val="21"/>
        </w:rPr>
        <w:t xml:space="preserve">Back-end: endpoint de busca com filtros de preço, tipo de estabelecimento e estilo musical.</w:t>
      </w:r>
    </w:p>
    <w:p>
      <w:pPr>
        <w:pStyle w:val="ListParagraph"/>
        <w:numPr>
          <w:ilvl w:val="1"/>
          <w:numId w:val="2"/>
        </w:numPr>
        <w:spacing w:after="60"/>
      </w:pPr>
      <w:r>
        <w:rPr>
          <w:i/>
          <w:iCs/>
          <w:color w:val="555555"/>
          <w:sz w:val="21"/>
          <w:szCs w:val="21"/>
        </w:rPr>
        <w:t xml:space="preserve">Como fazer, em resumo: Uma rota que recebe os filtros escolhidos pelo usuário na tela e devolve, do banco, só os estabelecimentos que combinam com eles.</w:t>
      </w:r>
    </w:p>
    <w:p>
      <w:pPr>
        <w:pStyle w:val="ListParagraph"/>
        <w:numPr>
          <w:ilvl w:val="0"/>
          <w:numId w:val="2"/>
        </w:numPr>
        <w:spacing w:after="60"/>
      </w:pPr>
      <w:r>
        <w:rPr>
          <w:sz w:val="21"/>
          <w:szCs w:val="21"/>
        </w:rPr>
        <w:t xml:space="preserve">Algoritmo: implementar a diretriz geral de geolocalização (pop-up de permissão do navegador) e o fallback por critérios temporais quando recusada (item 2.1 da Especificação).</w:t>
      </w:r>
    </w:p>
    <w:p>
      <w:pPr>
        <w:pStyle w:val="ListParagraph"/>
        <w:numPr>
          <w:ilvl w:val="1"/>
          <w:numId w:val="2"/>
        </w:numPr>
        <w:spacing w:after="60"/>
      </w:pPr>
      <w:r>
        <w:rPr>
          <w:i/>
          <w:iCs/>
          <w:color w:val="555555"/>
          <w:sz w:val="21"/>
          <w:szCs w:val="21"/>
        </w:rPr>
        <w:t xml:space="preserve">Como fazer, em resumo: No JavaScript do navegador, pedir a localização do usuário; se ele aceitar, usar essa posição para ordenar os resultados por proximidade; se recusar, cair nas regras de dia/horário já definidas na Especificação do Algoritmo, sem usar localização nenhuma.</w:t>
      </w:r>
    </w:p>
    <w:p>
      <w:pPr>
        <w:pStyle w:val="ListParagraph"/>
        <w:numPr>
          <w:ilvl w:val="0"/>
          <w:numId w:val="2"/>
        </w:numPr>
        <w:spacing w:after="60"/>
      </w:pPr>
      <w:r>
        <w:rPr>
          <w:sz w:val="21"/>
          <w:szCs w:val="21"/>
        </w:rPr>
        <w:t xml:space="preserve">Front-end: Tela de Resultados consumindo o endpoint de busca.</w:t>
      </w:r>
    </w:p>
    <w:p>
      <w:pPr>
        <w:pStyle w:val="ListParagraph"/>
        <w:numPr>
          <w:ilvl w:val="1"/>
          <w:numId w:val="2"/>
        </w:numPr>
        <w:spacing w:after="60"/>
      </w:pPr>
      <w:r>
        <w:rPr>
          <w:i/>
          <w:iCs/>
          <w:color w:val="555555"/>
          <w:sz w:val="21"/>
          <w:szCs w:val="21"/>
        </w:rPr>
        <w:t xml:space="preserve">Como fazer, em resumo: Mostrar na tela, em forma de lista de cards, exatamente o que a API de busca devolveu.</w:t>
      </w:r>
    </w:p>
    <w:p>
      <w:pPr>
        <w:spacing w:after="220"/>
      </w:pPr>
      <w:r>
        <w:rPr>
          <w:b/>
          <w:bCs/>
          <w:color w:val="1B2A4A"/>
          <w:sz w:val="21"/>
          <w:szCs w:val="21"/>
        </w:rPr>
        <w:t xml:space="preserve">Entrega de quarta-feira: </w:t>
      </w:r>
      <w:r>
        <w:rPr>
          <w:sz w:val="21"/>
          <w:szCs w:val="21"/>
        </w:rPr>
        <w:t xml:space="preserve">Busca pública (sem necessidade de login) com resultados reais vindos do banco de dados.</w:t>
      </w:r>
    </w:p>
    <w:p>
      <w:pPr>
        <w:spacing w:after="80" w:before="180"/>
      </w:pPr>
      <w:r>
        <w:rPr>
          <w:b/>
          <w:bCs/>
          <w:color w:val="1B2A4A"/>
          <w:sz w:val="21"/>
          <w:szCs w:val="21"/>
        </w:rPr>
        <w:t xml:space="preserve">Sprint 4 — 07 a 13/10/2026</w:t>
      </w:r>
    </w:p>
    <w:p>
      <w:pPr>
        <w:spacing w:after="120"/>
      </w:pPr>
      <w:r>
        <w:rPr>
          <w:b/>
          <w:bCs/>
          <w:sz w:val="21"/>
          <w:szCs w:val="21"/>
        </w:rPr>
        <w:t xml:space="preserve">Objetivo da sprint: Fechar o primeiro módulo de conteúdo ponta a ponta, incluindo o gatilho de login (favoritar) exigido pelo fluxo de simulação.</w:t>
      </w:r>
    </w:p>
    <w:p>
      <w:pPr>
        <w:spacing w:after="120"/>
      </w:pPr>
      <w:r>
        <w:rPr>
          <w:i/>
          <w:iCs/>
          <w:color w:val="444444"/>
          <w:sz w:val="21"/>
          <w:szCs w:val="21"/>
        </w:rPr>
        <w:t xml:space="preserve">Tecnologias em foco: FastAPI, PostgreSQL, HTML/CSS/JS.</w:t>
      </w:r>
    </w:p>
    <w:p>
      <w:pPr>
        <w:pStyle w:val="ListParagraph"/>
        <w:numPr>
          <w:ilvl w:val="0"/>
          <w:numId w:val="2"/>
        </w:numPr>
        <w:spacing w:after="60"/>
      </w:pPr>
      <w:r>
        <w:rPr>
          <w:sz w:val="21"/>
          <w:szCs w:val="21"/>
        </w:rPr>
        <w:t xml:space="preserve">Algoritmo: implementar as regras completas do Módulo Bares (seg-qui, sex-sáb, domingo — itens 2.2.1 a 2.2.3).</w:t>
      </w:r>
    </w:p>
    <w:p>
      <w:pPr>
        <w:pStyle w:val="ListParagraph"/>
        <w:numPr>
          <w:ilvl w:val="1"/>
          <w:numId w:val="2"/>
        </w:numPr>
        <w:spacing w:after="60"/>
      </w:pPr>
      <w:r>
        <w:rPr>
          <w:i/>
          <w:iCs/>
          <w:color w:val="555555"/>
          <w:sz w:val="21"/>
          <w:szCs w:val="21"/>
        </w:rPr>
        <w:t xml:space="preserve">Como fazer, em resumo: Traduzir em código (uma sequência de "se... então...", ou uma tabela de regras) as combinações de dia e horário descritas na Especificação — por exemplo: "se for sexta-feira depois das 17h, priorize bares com show ao vivo".</w:t>
      </w:r>
    </w:p>
    <w:p>
      <w:pPr>
        <w:pStyle w:val="ListParagraph"/>
        <w:numPr>
          <w:ilvl w:val="0"/>
          <w:numId w:val="2"/>
        </w:numPr>
        <w:spacing w:after="60"/>
      </w:pPr>
      <w:r>
        <w:rPr>
          <w:sz w:val="21"/>
          <w:szCs w:val="21"/>
        </w:rPr>
        <w:t xml:space="preserve">Back-end: endpoint de detalhes do estabelecimento e endpoint de “favoritar” (exige login, conforme fluxo da simulação).</w:t>
      </w:r>
    </w:p>
    <w:p>
      <w:pPr>
        <w:pStyle w:val="ListParagraph"/>
        <w:numPr>
          <w:ilvl w:val="1"/>
          <w:numId w:val="2"/>
        </w:numPr>
        <w:spacing w:after="60"/>
      </w:pPr>
      <w:r>
        <w:rPr>
          <w:i/>
          <w:iCs/>
          <w:color w:val="555555"/>
          <w:sz w:val="21"/>
          <w:szCs w:val="21"/>
        </w:rPr>
        <w:t xml:space="preserve">Como fazer, em resumo: Detalhes é uma rota que devolve todas as informações de um estabelecimento específico; favoritar só funciona se o usuário estiver logado (usa o token do login) e grava essa preferência no banco.</w:t>
      </w:r>
    </w:p>
    <w:p>
      <w:pPr>
        <w:pStyle w:val="ListParagraph"/>
        <w:numPr>
          <w:ilvl w:val="0"/>
          <w:numId w:val="2"/>
        </w:numPr>
        <w:spacing w:after="60"/>
      </w:pPr>
      <w:r>
        <w:rPr>
          <w:sz w:val="21"/>
          <w:szCs w:val="21"/>
        </w:rPr>
        <w:t xml:space="preserve">Front-end: Tela de Detalhes com fotos, horário e ações de Favoritar/Ver Rota (Ver Rota só o gatilho nesta sprint; integração de mapa entra na Sprint 7).</w:t>
      </w:r>
    </w:p>
    <w:p>
      <w:pPr>
        <w:pStyle w:val="ListParagraph"/>
        <w:numPr>
          <w:ilvl w:val="1"/>
          <w:numId w:val="2"/>
        </w:numPr>
        <w:spacing w:after="60"/>
      </w:pPr>
      <w:r>
        <w:rPr>
          <w:i/>
          <w:iCs/>
          <w:color w:val="555555"/>
          <w:sz w:val="21"/>
          <w:szCs w:val="21"/>
        </w:rPr>
        <w:t xml:space="preserve">Como fazer, em resumo: Tela que abre ao clicar em um resultado, mostrando as informações do estabelecimento e os botões de ação.</w:t>
      </w:r>
    </w:p>
    <w:p>
      <w:pPr>
        <w:pStyle w:val="ListParagraph"/>
        <w:numPr>
          <w:ilvl w:val="0"/>
          <w:numId w:val="2"/>
        </w:numPr>
        <w:spacing w:after="60"/>
      </w:pPr>
      <w:r>
        <w:rPr>
          <w:sz w:val="21"/>
          <w:szCs w:val="21"/>
        </w:rPr>
        <w:t xml:space="preserve">QA: casos de teste do algoritmo cobrindo as combinações de dia da semana e faixa horária do Módulo Bares.</w:t>
      </w:r>
    </w:p>
    <w:p>
      <w:pPr>
        <w:pStyle w:val="ListParagraph"/>
        <w:numPr>
          <w:ilvl w:val="1"/>
          <w:numId w:val="2"/>
        </w:numPr>
        <w:spacing w:after="60"/>
      </w:pPr>
      <w:r>
        <w:rPr>
          <w:i/>
          <w:iCs/>
          <w:color w:val="555555"/>
          <w:sz w:val="21"/>
          <w:szCs w:val="21"/>
        </w:rPr>
        <w:t xml:space="preserve">Como fazer, em resumo: Simular o sistema em diferentes dias/horários (ex.: "fingir" que é sábado às 20h) para confirmar que a regra certa está sendo aplicada em cada cenário.</w:t>
      </w:r>
    </w:p>
    <w:p>
      <w:pPr>
        <w:spacing w:after="120"/>
      </w:pPr>
      <w:r>
        <w:rPr>
          <w:i/>
          <w:iCs/>
          <w:color w:val="E8722C"/>
          <w:sz w:val="21"/>
          <w:szCs w:val="21"/>
        </w:rPr>
        <w:t xml:space="preserve">Ponto de decisão da equipe: A equipe deve confirmar, na atualização de segunda-feira, a leitura adotada para a lacuna de domingo do Módulo Restaurantes (item 3.4 da Especificação) antes da Sprint 5.</w:t>
      </w:r>
    </w:p>
    <w:p>
      <w:pPr>
        <w:spacing w:after="220"/>
      </w:pPr>
      <w:r>
        <w:rPr>
          <w:b/>
          <w:bCs/>
          <w:color w:val="1B2A4A"/>
          <w:sz w:val="21"/>
          <w:szCs w:val="21"/>
        </w:rPr>
        <w:t xml:space="preserve">Entrega de quarta-feira: </w:t>
      </w:r>
      <w:r>
        <w:rPr>
          <w:sz w:val="21"/>
          <w:szCs w:val="21"/>
        </w:rPr>
        <w:t xml:space="preserve">Fluxo completo do módulo Bares: busca → tela de detalhes → favoritar, com o motor de recomendação de bares aplicado.</w:t>
      </w:r>
    </w:p>
    <w:p>
      <w:pPr>
        <w:spacing w:after="80" w:before="180"/>
      </w:pPr>
      <w:r>
        <w:rPr>
          <w:b/>
          <w:bCs/>
          <w:color w:val="1B2A4A"/>
          <w:sz w:val="21"/>
          <w:szCs w:val="21"/>
        </w:rPr>
        <w:t xml:space="preserve">Sprint 5 — 14 a 20/10/2026</w:t>
      </w:r>
    </w:p>
    <w:p>
      <w:pPr>
        <w:spacing w:after="120"/>
      </w:pPr>
      <w:r>
        <w:rPr>
          <w:b/>
          <w:bCs/>
          <w:sz w:val="21"/>
          <w:szCs w:val="21"/>
        </w:rPr>
        <w:t xml:space="preserve">Objetivo da sprint: Estender o padrão validado na Sprint 4 para os dois módulos seguintes do Escopo de Telas.</w:t>
      </w:r>
    </w:p>
    <w:p>
      <w:pPr>
        <w:spacing w:after="120"/>
      </w:pPr>
      <w:r>
        <w:rPr>
          <w:i/>
          <w:iCs/>
          <w:color w:val="444444"/>
          <w:sz w:val="21"/>
          <w:szCs w:val="21"/>
        </w:rPr>
        <w:t xml:space="preserve">Tecnologias em foco: FastAPI, PostgreSQL, HTML/CSS/JS.</w:t>
      </w:r>
    </w:p>
    <w:p>
      <w:pPr>
        <w:pStyle w:val="ListParagraph"/>
        <w:numPr>
          <w:ilvl w:val="0"/>
          <w:numId w:val="2"/>
        </w:numPr>
        <w:spacing w:after="60"/>
      </w:pPr>
      <w:r>
        <w:rPr>
          <w:sz w:val="21"/>
          <w:szCs w:val="21"/>
        </w:rPr>
        <w:t xml:space="preserve">Algoritmo: Módulo Restaurantes (item 2.3, com a decisão da equipe sobre a faixa 11h-14h de domingo já registrada) e Módulo Cafeterias (item 2.4).</w:t>
      </w:r>
    </w:p>
    <w:p>
      <w:pPr>
        <w:pStyle w:val="ListParagraph"/>
        <w:numPr>
          <w:ilvl w:val="1"/>
          <w:numId w:val="2"/>
        </w:numPr>
        <w:spacing w:after="60"/>
      </w:pPr>
      <w:r>
        <w:rPr>
          <w:i/>
          <w:iCs/>
          <w:color w:val="555555"/>
          <w:sz w:val="21"/>
          <w:szCs w:val="21"/>
        </w:rPr>
        <w:t xml:space="preserve">Como fazer, em resumo: Mesma lógica da Sprint 4, agora aplicada às regras específicas de Restaurantes e Cafeterias descritas na Especificação.</w:t>
      </w:r>
    </w:p>
    <w:p>
      <w:pPr>
        <w:pStyle w:val="ListParagraph"/>
        <w:numPr>
          <w:ilvl w:val="0"/>
          <w:numId w:val="2"/>
        </w:numPr>
        <w:spacing w:after="60"/>
      </w:pPr>
      <w:r>
        <w:rPr>
          <w:sz w:val="21"/>
          <w:szCs w:val="21"/>
        </w:rPr>
        <w:t xml:space="preserve">Banco de Dados: massa de dados de restaurantes e cafeterias da RMG.</w:t>
      </w:r>
    </w:p>
    <w:p>
      <w:pPr>
        <w:pStyle w:val="ListParagraph"/>
        <w:numPr>
          <w:ilvl w:val="1"/>
          <w:numId w:val="2"/>
        </w:numPr>
        <w:spacing w:after="60"/>
      </w:pPr>
      <w:r>
        <w:rPr>
          <w:i/>
          <w:iCs/>
          <w:color w:val="555555"/>
          <w:sz w:val="21"/>
          <w:szCs w:val="21"/>
        </w:rPr>
        <w:t xml:space="preserve">Como fazer, em resumo: Adicionar mais registros de teste no banco, agora dos tipos restaurante e cafeteria, do mesmo jeito que foi feito com os bares na Sprint 3.</w:t>
      </w:r>
    </w:p>
    <w:p>
      <w:pPr>
        <w:pStyle w:val="ListParagraph"/>
        <w:numPr>
          <w:ilvl w:val="0"/>
          <w:numId w:val="2"/>
        </w:numPr>
        <w:spacing w:after="60"/>
      </w:pPr>
      <w:r>
        <w:rPr>
          <w:sz w:val="21"/>
          <w:szCs w:val="21"/>
        </w:rPr>
        <w:t xml:space="preserve">Front-end/Back-end: reaproveitar as telas de Resultados e Detalhes já construídas, adaptando-as às regras de cada módulo.</w:t>
      </w:r>
    </w:p>
    <w:p>
      <w:pPr>
        <w:pStyle w:val="ListParagraph"/>
        <w:numPr>
          <w:ilvl w:val="1"/>
          <w:numId w:val="2"/>
        </w:numPr>
        <w:spacing w:after="60"/>
      </w:pPr>
      <w:r>
        <w:rPr>
          <w:i/>
          <w:iCs/>
          <w:color w:val="555555"/>
          <w:sz w:val="21"/>
          <w:szCs w:val="21"/>
        </w:rPr>
        <w:t xml:space="preserve">Como fazer, em resumo: As mesmas telas da Sprint 4 passam a exibir também restaurantes e cafeterias — não é preciso recriar nada do zero, só ajustar o que muda entre os módulos.</w:t>
      </w:r>
    </w:p>
    <w:p>
      <w:pPr>
        <w:spacing w:after="220"/>
      </w:pPr>
      <w:r>
        <w:rPr>
          <w:b/>
          <w:bCs/>
          <w:color w:val="1B2A4A"/>
          <w:sz w:val="21"/>
          <w:szCs w:val="21"/>
        </w:rPr>
        <w:t xml:space="preserve">Entrega de quarta-feira: </w:t>
      </w:r>
      <w:r>
        <w:rPr>
          <w:sz w:val="21"/>
          <w:szCs w:val="21"/>
        </w:rPr>
        <w:t xml:space="preserve">Módulos Restaurantes e Cafeterias funcionando com o mesmo fluxo (busca → detalhes → favoritar).</w:t>
      </w:r>
    </w:p>
    <w:p>
      <w:pPr>
        <w:spacing w:after="80" w:before="180"/>
      </w:pPr>
      <w:r>
        <w:rPr>
          <w:b/>
          <w:bCs/>
          <w:color w:val="1B2A4A"/>
          <w:sz w:val="21"/>
          <w:szCs w:val="21"/>
        </w:rPr>
        <w:t xml:space="preserve">Sprint 6 — 21 a 27/10/2026</w:t>
      </w:r>
    </w:p>
    <w:p>
      <w:pPr>
        <w:spacing w:after="120"/>
      </w:pPr>
      <w:r>
        <w:rPr>
          <w:b/>
          <w:bCs/>
          <w:sz w:val="21"/>
          <w:szCs w:val="21"/>
        </w:rPr>
        <w:t xml:space="preserve">Objetivo da sprint: Implementar o último módulo de conteúdo e a regra transversal de priorização de patrocínio (item 2.6 da Especificação).</w:t>
      </w:r>
    </w:p>
    <w:p>
      <w:pPr>
        <w:spacing w:after="120"/>
      </w:pPr>
      <w:r>
        <w:rPr>
          <w:i/>
          <w:iCs/>
          <w:color w:val="444444"/>
          <w:sz w:val="21"/>
          <w:szCs w:val="21"/>
        </w:rPr>
        <w:t xml:space="preserve">Tecnologias em foco: FastAPI, PostgreSQL, HTML/CSS/JS.</w:t>
      </w:r>
    </w:p>
    <w:p>
      <w:pPr>
        <w:pStyle w:val="ListParagraph"/>
        <w:numPr>
          <w:ilvl w:val="0"/>
          <w:numId w:val="2"/>
        </w:numPr>
        <w:spacing w:after="60"/>
      </w:pPr>
      <w:r>
        <w:rPr>
          <w:sz w:val="21"/>
          <w:szCs w:val="21"/>
        </w:rPr>
        <w:t xml:space="preserve">Algoritmo: Módulo Eventos (item 2.5) e regra de priorização de patrocínio/graus (item 2.6), incluindo a composição padrão com item B2B premium e destaque pago (boost).</w:t>
      </w:r>
    </w:p>
    <w:p>
      <w:pPr>
        <w:pStyle w:val="ListParagraph"/>
        <w:numPr>
          <w:ilvl w:val="1"/>
          <w:numId w:val="2"/>
        </w:numPr>
        <w:spacing w:after="60"/>
      </w:pPr>
      <w:r>
        <w:rPr>
          <w:i/>
          <w:iCs/>
          <w:color w:val="555555"/>
          <w:sz w:val="21"/>
          <w:szCs w:val="21"/>
        </w:rPr>
        <w:t xml:space="preserve">Como fazer, em resumo: Implementar a regra de que conteúdo patrocinado aparece sempre primeiro, seguido da lógica de "graus de prioridade" descrita na Especificação (patrocinado &gt; B2B/boost &gt; proximidade &gt; demais).</w:t>
      </w:r>
    </w:p>
    <w:p>
      <w:pPr>
        <w:pStyle w:val="ListParagraph"/>
        <w:numPr>
          <w:ilvl w:val="0"/>
          <w:numId w:val="2"/>
        </w:numPr>
        <w:spacing w:after="60"/>
      </w:pPr>
      <w:r>
        <w:rPr>
          <w:sz w:val="21"/>
          <w:szCs w:val="21"/>
        </w:rPr>
        <w:t xml:space="preserve">Back-end: sinalização de itens patrocinados/B2B nos endpoints de busca e detalhes.</w:t>
      </w:r>
    </w:p>
    <w:p>
      <w:pPr>
        <w:pStyle w:val="ListParagraph"/>
        <w:numPr>
          <w:ilvl w:val="1"/>
          <w:numId w:val="2"/>
        </w:numPr>
        <w:spacing w:after="60"/>
      </w:pPr>
      <w:r>
        <w:rPr>
          <w:i/>
          <w:iCs/>
          <w:color w:val="555555"/>
          <w:sz w:val="21"/>
          <w:szCs w:val="21"/>
        </w:rPr>
        <w:t xml:space="preserve">Como fazer, em resumo: Adicionar um campo no banco (ex.: is_patrocinado) e fazer a API já devolver essa informação junto com os dados do estabelecimento, para o front-end saber o que destacar.</w:t>
      </w:r>
    </w:p>
    <w:p>
      <w:pPr>
        <w:pStyle w:val="ListParagraph"/>
        <w:numPr>
          <w:ilvl w:val="0"/>
          <w:numId w:val="2"/>
        </w:numPr>
        <w:spacing w:after="60"/>
      </w:pPr>
      <w:r>
        <w:rPr>
          <w:sz w:val="21"/>
          <w:szCs w:val="21"/>
        </w:rPr>
        <w:t xml:space="preserve">Front-end: indicadores visuais de conteúdo patrocinado/em destaque nas telas de Resultados e Eventos.</w:t>
      </w:r>
    </w:p>
    <w:p>
      <w:pPr>
        <w:pStyle w:val="ListParagraph"/>
        <w:numPr>
          <w:ilvl w:val="1"/>
          <w:numId w:val="2"/>
        </w:numPr>
        <w:spacing w:after="60"/>
      </w:pPr>
      <w:r>
        <w:rPr>
          <w:i/>
          <w:iCs/>
          <w:color w:val="555555"/>
          <w:sz w:val="21"/>
          <w:szCs w:val="21"/>
        </w:rPr>
        <w:t xml:space="preserve">Como fazer, em resumo: Colocar um selo ou destaque visual (ex.: uma etiqueta "Patrocinado") nos cards que vierem marcados com esse campo.</w:t>
      </w:r>
    </w:p>
    <w:p>
      <w:pPr>
        <w:spacing w:after="220"/>
      </w:pPr>
      <w:r>
        <w:rPr>
          <w:b/>
          <w:bCs/>
          <w:color w:val="1B2A4A"/>
          <w:sz w:val="21"/>
          <w:szCs w:val="21"/>
        </w:rPr>
        <w:t xml:space="preserve">Entrega de quarta-feira: </w:t>
      </w:r>
      <w:r>
        <w:rPr>
          <w:sz w:val="21"/>
          <w:szCs w:val="21"/>
        </w:rPr>
        <w:t xml:space="preserve">Módulo Eventos funcionando, com a hierarquia de patrocínio aplicada a Eventos e Bares.</w:t>
      </w:r>
    </w:p>
    <w:p>
      <w:pPr>
        <w:spacing w:after="80" w:before="180"/>
      </w:pPr>
      <w:r>
        <w:rPr>
          <w:b/>
          <w:bCs/>
          <w:color w:val="1B2A4A"/>
          <w:sz w:val="21"/>
          <w:szCs w:val="21"/>
        </w:rPr>
        <w:t xml:space="preserve">Sprint 7 — 28/10 a 03/11/2026</w:t>
      </w:r>
    </w:p>
    <w:p>
      <w:pPr>
        <w:spacing w:after="120"/>
      </w:pPr>
      <w:r>
        <w:rPr>
          <w:b/>
          <w:bCs/>
          <w:sz w:val="21"/>
          <w:szCs w:val="21"/>
        </w:rPr>
        <w:t xml:space="preserve">Objetivo da sprint: Fechar o fluxo fim-a-fim que será usado na demo final e tratar o cenário de datas comemorativas.</w:t>
      </w:r>
    </w:p>
    <w:p>
      <w:pPr>
        <w:spacing w:after="120"/>
      </w:pPr>
      <w:r>
        <w:rPr>
          <w:i/>
          <w:iCs/>
          <w:color w:val="444444"/>
          <w:sz w:val="21"/>
          <w:szCs w:val="21"/>
        </w:rPr>
        <w:t xml:space="preserve">Tecnologias em foco: Google Maps API (free tier), FastAPI, PostgreSQL, HTML/CSS/JS.</w:t>
      </w:r>
    </w:p>
    <w:p>
      <w:pPr>
        <w:pStyle w:val="ListParagraph"/>
        <w:numPr>
          <w:ilvl w:val="0"/>
          <w:numId w:val="2"/>
        </w:numPr>
        <w:spacing w:after="60"/>
      </w:pPr>
      <w:r>
        <w:rPr>
          <w:sz w:val="21"/>
          <w:szCs w:val="21"/>
        </w:rPr>
        <w:t xml:space="preserve">Algoritmo: regras de datas comemorativas (item 2.7) e cronograma de antecedência (Quadro 1: 15-25, 10-15 e 5-7 dias).</w:t>
      </w:r>
    </w:p>
    <w:p>
      <w:pPr>
        <w:pStyle w:val="ListParagraph"/>
        <w:numPr>
          <w:ilvl w:val="1"/>
          <w:numId w:val="2"/>
        </w:numPr>
        <w:spacing w:after="60"/>
      </w:pPr>
      <w:r>
        <w:rPr>
          <w:i/>
          <w:iCs/>
          <w:color w:val="555555"/>
          <w:sz w:val="21"/>
          <w:szCs w:val="21"/>
        </w:rPr>
        <w:t xml:space="preserve">Como fazer, em resumo: Comparar a data atual com a data comemorativa mais próxima e, se estiver dentro da janela de antecedência do Quadro 1, trocar as regras normais pelas regras específicas de data comemorativa.</w:t>
      </w:r>
    </w:p>
    <w:p>
      <w:pPr>
        <w:pStyle w:val="ListParagraph"/>
        <w:numPr>
          <w:ilvl w:val="0"/>
          <w:numId w:val="2"/>
        </w:numPr>
        <w:spacing w:after="60"/>
      </w:pPr>
      <w:r>
        <w:rPr>
          <w:sz w:val="21"/>
          <w:szCs w:val="21"/>
        </w:rPr>
        <w:t xml:space="preserve">Infra/DevOps: ativar a Google Maps API dentro do plano gratuito e configurar o monitoramento de consumo no Google Cloud Console.</w:t>
      </w:r>
    </w:p>
    <w:p>
      <w:pPr>
        <w:pStyle w:val="ListParagraph"/>
        <w:numPr>
          <w:ilvl w:val="1"/>
          <w:numId w:val="2"/>
        </w:numPr>
        <w:spacing w:after="60"/>
      </w:pPr>
      <w:r>
        <w:rPr>
          <w:i/>
          <w:iCs/>
          <w:color w:val="555555"/>
          <w:sz w:val="21"/>
          <w:szCs w:val="21"/>
        </w:rPr>
        <w:t xml:space="preserve">Como fazer, em resumo: Criar/usar uma conta no Google Cloud, ativar a Maps API, gerar uma chave de API e configurar um alerta de consumo para garantir que o uso fique dentro do crédito gratuito de US$ 200/mês.</w:t>
      </w:r>
    </w:p>
    <w:p>
      <w:pPr>
        <w:pStyle w:val="ListParagraph"/>
        <w:numPr>
          <w:ilvl w:val="0"/>
          <w:numId w:val="2"/>
        </w:numPr>
        <w:spacing w:after="60"/>
      </w:pPr>
      <w:r>
        <w:rPr>
          <w:sz w:val="21"/>
          <w:szCs w:val="21"/>
        </w:rPr>
        <w:t xml:space="preserve">Front-end/Back-end: implementar a ação “Ver Rota” como etapa de confirmação do fluxo de demonstração.</w:t>
      </w:r>
    </w:p>
    <w:p>
      <w:pPr>
        <w:pStyle w:val="ListParagraph"/>
        <w:numPr>
          <w:ilvl w:val="1"/>
          <w:numId w:val="2"/>
        </w:numPr>
        <w:spacing w:after="60"/>
      </w:pPr>
      <w:r>
        <w:rPr>
          <w:i/>
          <w:iCs/>
          <w:color w:val="555555"/>
          <w:sz w:val="21"/>
          <w:szCs w:val="21"/>
        </w:rPr>
        <w:t xml:space="preserve">Como fazer, em resumo: Usar a chave da Google Maps API para desenhar, na tela, a rota entre a localização do usuário e o estabelecimento escolhido — é o clique que fecha o fluxo da demo.</w:t>
      </w:r>
    </w:p>
    <w:p>
      <w:pPr>
        <w:spacing w:after="120"/>
      </w:pPr>
      <w:r>
        <w:rPr>
          <w:i/>
          <w:iCs/>
          <w:color w:val="E8722C"/>
          <w:sz w:val="21"/>
          <w:szCs w:val="21"/>
        </w:rPr>
        <w:t xml:space="preserve">Ponto de decisão da equipe: Confirmar, antes da sprint, a interpretação adotada para a regra de posições pagas a partir de 3 dias antes da data comemorativa (item 2.7.2 da Especificação, redação ambígua no original).</w:t>
      </w:r>
    </w:p>
    <w:p>
      <w:pPr>
        <w:spacing w:after="220"/>
      </w:pPr>
      <w:r>
        <w:rPr>
          <w:b/>
          <w:bCs/>
          <w:color w:val="1B2A4A"/>
          <w:sz w:val="21"/>
          <w:szCs w:val="21"/>
        </w:rPr>
        <w:t xml:space="preserve">Entrega de quarta-feira: </w:t>
      </w:r>
      <w:r>
        <w:rPr>
          <w:sz w:val="21"/>
          <w:szCs w:val="21"/>
        </w:rPr>
        <w:t xml:space="preserve">Fluxo de demonstração completo: Cadastro → Escolha do bar → Confirmação (Ver Rota), incluindo as regras de datas comemorativas.</w:t>
      </w:r>
    </w:p>
    <w:p>
      <w:pPr>
        <w:spacing w:after="80" w:before="180"/>
      </w:pPr>
      <w:r>
        <w:rPr>
          <w:b/>
          <w:bCs/>
          <w:color w:val="1B2A4A"/>
          <w:sz w:val="21"/>
          <w:szCs w:val="21"/>
        </w:rPr>
        <w:t xml:space="preserve">Sprint 8 — 04 a 10/11/2026</w:t>
      </w:r>
    </w:p>
    <w:p>
      <w:pPr>
        <w:spacing w:after="120"/>
      </w:pPr>
      <w:r>
        <w:rPr>
          <w:b/>
          <w:bCs/>
          <w:sz w:val="21"/>
          <w:szCs w:val="21"/>
        </w:rPr>
        <w:t xml:space="preserve">Objetivo da sprint: Fechar os Requisitos Não Funcionais do TAP (responsividade, tempo de carregamento, jornada em até 3 interações) antes do encerramento.</w:t>
      </w:r>
    </w:p>
    <w:p>
      <w:pPr>
        <w:spacing w:after="120"/>
      </w:pPr>
      <w:r>
        <w:rPr>
          <w:i/>
          <w:iCs/>
          <w:color w:val="444444"/>
          <w:sz w:val="21"/>
          <w:szCs w:val="21"/>
        </w:rPr>
        <w:t xml:space="preserve">Tecnologias em foco: HTML/CSS/JS (responsividade), FastAPI (otimizações), GitHub (congelamento de escopo).</w:t>
      </w:r>
    </w:p>
    <w:p>
      <w:pPr>
        <w:pStyle w:val="ListParagraph"/>
        <w:numPr>
          <w:ilvl w:val="0"/>
          <w:numId w:val="2"/>
        </w:numPr>
        <w:spacing w:after="60"/>
      </w:pPr>
      <w:r>
        <w:rPr>
          <w:sz w:val="21"/>
          <w:szCs w:val="21"/>
        </w:rPr>
        <w:t xml:space="preserve">QA: executar o teste de usabilidade com no mínimo 3 participantes e roteiro definido, registrando o número de interações por tarefa.</w:t>
      </w:r>
    </w:p>
    <w:p>
      <w:pPr>
        <w:pStyle w:val="ListParagraph"/>
        <w:numPr>
          <w:ilvl w:val="1"/>
          <w:numId w:val="2"/>
        </w:numPr>
        <w:spacing w:after="60"/>
      </w:pPr>
      <w:r>
        <w:rPr>
          <w:i/>
          <w:iCs/>
          <w:color w:val="555555"/>
          <w:sz w:val="21"/>
          <w:szCs w:val="21"/>
        </w:rPr>
        <w:t xml:space="preserve">Como fazer, em resumo: Chamar pelo menos 3 pessoas de fora da equipe para usarem o sistema seguindo um roteiro de tarefas, contando quantos cliques cada uma precisa até achar o que queria.</w:t>
      </w:r>
    </w:p>
    <w:p>
      <w:pPr>
        <w:pStyle w:val="ListParagraph"/>
        <w:numPr>
          <w:ilvl w:val="0"/>
          <w:numId w:val="2"/>
        </w:numPr>
        <w:spacing w:after="60"/>
      </w:pPr>
      <w:r>
        <w:rPr>
          <w:sz w:val="21"/>
          <w:szCs w:val="21"/>
        </w:rPr>
        <w:t xml:space="preserve">Front-end: ajustes de responsividade para validar 100% de compatibilidade desktop, com base para mobile.</w:t>
      </w:r>
    </w:p>
    <w:p>
      <w:pPr>
        <w:pStyle w:val="ListParagraph"/>
        <w:numPr>
          <w:ilvl w:val="1"/>
          <w:numId w:val="2"/>
        </w:numPr>
        <w:spacing w:after="60"/>
      </w:pPr>
      <w:r>
        <w:rPr>
          <w:i/>
          <w:iCs/>
          <w:color w:val="555555"/>
          <w:sz w:val="21"/>
          <w:szCs w:val="21"/>
        </w:rPr>
        <w:t xml:space="preserve">Como fazer, em resumo: Testar e ajustar o CSS em diferentes tamanhos de tela (usando as ferramentas de desenvolvedor do navegador, tecla F12) até funcionar bem tanto no notebook quanto no celular.</w:t>
      </w:r>
    </w:p>
    <w:p>
      <w:pPr>
        <w:pStyle w:val="ListParagraph"/>
        <w:numPr>
          <w:ilvl w:val="0"/>
          <w:numId w:val="2"/>
        </w:numPr>
        <w:spacing w:after="60"/>
      </w:pPr>
      <w:r>
        <w:rPr>
          <w:sz w:val="21"/>
          <w:szCs w:val="21"/>
        </w:rPr>
        <w:t xml:space="preserve">Back-end: revisão de desempenho para manter o carregamento abaixo de 3 segundos.</w:t>
      </w:r>
    </w:p>
    <w:p>
      <w:pPr>
        <w:pStyle w:val="ListParagraph"/>
        <w:numPr>
          <w:ilvl w:val="1"/>
          <w:numId w:val="2"/>
        </w:numPr>
        <w:spacing w:after="60"/>
      </w:pPr>
      <w:r>
        <w:rPr>
          <w:i/>
          <w:iCs/>
          <w:color w:val="555555"/>
          <w:sz w:val="21"/>
          <w:szCs w:val="21"/>
        </w:rPr>
        <w:t xml:space="preserve">Como fazer, em resumo: Medir quanto tempo cada rota da API demora para responder e otimizar as consultas ao banco que estiverem lentas.</w:t>
      </w:r>
    </w:p>
    <w:p>
      <w:pPr>
        <w:pStyle w:val="ListParagraph"/>
        <w:numPr>
          <w:ilvl w:val="0"/>
          <w:numId w:val="2"/>
        </w:numPr>
        <w:spacing w:after="60"/>
      </w:pPr>
      <w:r>
        <w:rPr>
          <w:sz w:val="21"/>
          <w:szCs w:val="21"/>
        </w:rPr>
        <w:t xml:space="preserve">Documentação: consolidar o TAP e a Especificação do Algoritmo com todos os pontos do item 3.4 já resolvidos, prontos para a banca.</w:t>
      </w:r>
    </w:p>
    <w:p>
      <w:pPr>
        <w:pStyle w:val="ListParagraph"/>
        <w:numPr>
          <w:ilvl w:val="1"/>
          <w:numId w:val="2"/>
        </w:numPr>
        <w:spacing w:after="60"/>
      </w:pPr>
      <w:r>
        <w:rPr>
          <w:i/>
          <w:iCs/>
          <w:color w:val="555555"/>
          <w:sz w:val="21"/>
          <w:szCs w:val="21"/>
        </w:rPr>
        <w:t xml:space="preserve">Como fazer, em resumo: Revisar os dois documentos, já incorporando as decisões tomadas nas reuniões de segunda-feira das sprints anteriores, e deixá-los prontos para anexar à entrega final.</w:t>
      </w:r>
    </w:p>
    <w:p>
      <w:pPr>
        <w:spacing w:after="220"/>
      </w:pPr>
      <w:r>
        <w:rPr>
          <w:b/>
          <w:bCs/>
          <w:color w:val="1B2A4A"/>
          <w:sz w:val="21"/>
          <w:szCs w:val="21"/>
        </w:rPr>
        <w:t xml:space="preserve">Entrega de quarta-feira: </w:t>
      </w:r>
      <w:r>
        <w:rPr>
          <w:sz w:val="21"/>
          <w:szCs w:val="21"/>
        </w:rPr>
        <w:t xml:space="preserve">Sistema estabilizado: responsivo, dentro da meta de performance, e validado por teste de usabilidade.</w:t>
      </w:r>
    </w:p>
    <w:p>
      <w:pPr>
        <w:spacing w:after="80" w:before="180"/>
      </w:pPr>
      <w:r>
        <w:rPr>
          <w:b/>
          <w:bCs/>
          <w:color w:val="1B2A4A"/>
          <w:sz w:val="21"/>
          <w:szCs w:val="21"/>
        </w:rPr>
        <w:t xml:space="preserve">Sprint 9 — Encerramento — 12 a 15/11/2026</w:t>
      </w:r>
    </w:p>
    <w:p>
      <w:pPr>
        <w:spacing w:after="120"/>
      </w:pPr>
      <w:r>
        <w:rPr>
          <w:b/>
          <w:bCs/>
          <w:sz w:val="21"/>
          <w:szCs w:val="21"/>
        </w:rPr>
        <w:t xml:space="preserve">Objetivo da sprint: Ensaiar e apresentar a Prova de Conceito, encerrando formalmente o projeto do semestre.</w:t>
      </w:r>
    </w:p>
    <w:p>
      <w:pPr>
        <w:spacing w:after="120"/>
      </w:pPr>
      <w:r>
        <w:rPr>
          <w:i/>
          <w:iCs/>
          <w:color w:val="444444"/>
          <w:sz w:val="21"/>
          <w:szCs w:val="21"/>
        </w:rPr>
        <w:t xml:space="preserve">Tecnologias em foco: GitHub (tag de release), toda a stack integrada.</w:t>
      </w:r>
    </w:p>
    <w:p>
      <w:pPr>
        <w:pStyle w:val="ListParagraph"/>
        <w:numPr>
          <w:ilvl w:val="0"/>
          <w:numId w:val="2"/>
        </w:numPr>
        <w:spacing w:after="60"/>
      </w:pPr>
      <w:r>
        <w:rPr>
          <w:sz w:val="21"/>
          <w:szCs w:val="21"/>
        </w:rPr>
        <w:t xml:space="preserve">Ensaio da demo ao vivo: Cadastro → Escolha do bar → Confirmação, conforme roteirizado na apresentação de Escopo Técnico.</w:t>
      </w:r>
    </w:p>
    <w:p>
      <w:pPr>
        <w:pStyle w:val="ListParagraph"/>
        <w:numPr>
          <w:ilvl w:val="1"/>
          <w:numId w:val="2"/>
        </w:numPr>
        <w:spacing w:after="60"/>
      </w:pPr>
      <w:r>
        <w:rPr>
          <w:i/>
          <w:iCs/>
          <w:color w:val="555555"/>
          <w:sz w:val="21"/>
          <w:szCs w:val="21"/>
        </w:rPr>
        <w:t xml:space="preserve">Como fazer, em resumo: Repetir várias vezes o fluxo completo com o sistema real, cronometrando e ajustando a fala de quem for apresentar.</w:t>
      </w:r>
    </w:p>
    <w:p>
      <w:pPr>
        <w:pStyle w:val="ListParagraph"/>
        <w:numPr>
          <w:ilvl w:val="0"/>
          <w:numId w:val="2"/>
        </w:numPr>
        <w:spacing w:after="60"/>
      </w:pPr>
      <w:r>
        <w:rPr>
          <w:sz w:val="21"/>
          <w:szCs w:val="21"/>
        </w:rPr>
        <w:t xml:space="preserve">Preparação do pitch final e materiais de apoio para a banca.</w:t>
      </w:r>
    </w:p>
    <w:p>
      <w:pPr>
        <w:pStyle w:val="ListParagraph"/>
        <w:numPr>
          <w:ilvl w:val="1"/>
          <w:numId w:val="2"/>
        </w:numPr>
        <w:spacing w:after="60"/>
      </w:pPr>
      <w:r>
        <w:rPr>
          <w:i/>
          <w:iCs/>
          <w:color w:val="555555"/>
          <w:sz w:val="21"/>
          <w:szCs w:val="21"/>
        </w:rPr>
        <w:t xml:space="preserve">Como fazer, em resumo: Organizar os slides/roteiro de apresentação, usando a apresentação de Escopo Técnico já entregue como base.</w:t>
      </w:r>
    </w:p>
    <w:p>
      <w:pPr>
        <w:pStyle w:val="ListParagraph"/>
        <w:numPr>
          <w:ilvl w:val="0"/>
          <w:numId w:val="2"/>
        </w:numPr>
        <w:spacing w:after="60"/>
      </w:pPr>
      <w:r>
        <w:rPr>
          <w:sz w:val="21"/>
          <w:szCs w:val="21"/>
        </w:rPr>
        <w:t xml:space="preserve">Publicação de uma release/tag no GitHub marcando o estado entregue do projeto.</w:t>
      </w:r>
    </w:p>
    <w:p>
      <w:pPr>
        <w:pStyle w:val="ListParagraph"/>
        <w:numPr>
          <w:ilvl w:val="1"/>
          <w:numId w:val="2"/>
        </w:numPr>
        <w:spacing w:after="60"/>
      </w:pPr>
      <w:r>
        <w:rPr>
          <w:i/>
          <w:iCs/>
          <w:color w:val="555555"/>
          <w:sz w:val="21"/>
          <w:szCs w:val="21"/>
        </w:rPr>
        <w:t xml:space="preserve">Como fazer, em resumo: No GitHub, criar uma "tag" (ex.: v1.0) que marca exatamente a versão do código apresentada à banca, para poder voltar a ela se precisar.</w:t>
      </w:r>
    </w:p>
    <w:p>
      <w:pPr>
        <w:pStyle w:val="ListParagraph"/>
        <w:numPr>
          <w:ilvl w:val="0"/>
          <w:numId w:val="2"/>
        </w:numPr>
        <w:spacing w:after="60"/>
      </w:pPr>
      <w:r>
        <w:rPr>
          <w:sz w:val="21"/>
          <w:szCs w:val="21"/>
        </w:rPr>
        <w:t xml:space="preserve">Entrega da documentação oficial consolidada (TAP + Especificação do Algoritmo) à banca de especialistas.</w:t>
      </w:r>
    </w:p>
    <w:p>
      <w:pPr>
        <w:pStyle w:val="ListParagraph"/>
        <w:numPr>
          <w:ilvl w:val="1"/>
          <w:numId w:val="2"/>
        </w:numPr>
        <w:spacing w:after="60"/>
      </w:pPr>
      <w:r>
        <w:rPr>
          <w:i/>
          <w:iCs/>
          <w:color w:val="555555"/>
          <w:sz w:val="21"/>
          <w:szCs w:val="21"/>
        </w:rPr>
        <w:t xml:space="preserve">Como fazer, em resumo: Empacotar os dois documentos já atualizados junto com o link do repositório GitHub para envio final.</w:t>
      </w:r>
    </w:p>
    <w:p>
      <w:pPr>
        <w:spacing w:after="220"/>
      </w:pPr>
      <w:r>
        <w:rPr>
          <w:b/>
          <w:bCs/>
          <w:color w:val="1B2A4A"/>
          <w:sz w:val="21"/>
          <w:szCs w:val="21"/>
        </w:rPr>
        <w:t xml:space="preserve">Entrega de quarta-feira: </w:t>
      </w:r>
      <w:r>
        <w:rPr>
          <w:sz w:val="21"/>
          <w:szCs w:val="21"/>
        </w:rPr>
        <w:t xml:space="preserve">Demonstração final realizada perante a banca de especialistas.</w:t>
      </w:r>
    </w:p>
    <w:p>
      <w:pPr>
        <w:pStyle w:val="Heading1"/>
        <w:pBdr>
          <w:bottom w:val="single" w:color="E8722C" w:sz="12" w:space="4"/>
        </w:pBdr>
        <w:spacing w:after="160" w:before="320"/>
      </w:pPr>
      <w:r>
        <w:rPr>
          <w:b/>
          <w:bCs/>
          <w:color w:val="1B2A4A"/>
          <w:sz w:val="30"/>
          <w:szCs w:val="30"/>
        </w:rPr>
        <w:t xml:space="preserve">9. Riscos e Pontos de Atenção</w:t>
      </w:r>
    </w:p>
    <w:p>
      <w:pPr>
        <w:pStyle w:val="ListParagraph"/>
        <w:numPr>
          <w:ilvl w:val="0"/>
          <w:numId w:val="2"/>
        </w:numPr>
        <w:spacing w:after="60"/>
      </w:pPr>
      <w:r>
        <w:rPr>
          <w:sz w:val="21"/>
          <w:szCs w:val="21"/>
        </w:rPr>
        <w:t xml:space="preserve">Dependências não resolvidas na Especificação do Algoritmo (lacuna de domingo em Restaurantes, ausência de faixa de jantar, tratamento fora da RMG, redação ambígua do item 2.7.2) podem atrasar as Sprints 4, 5 e 7 se não forem decididas nas reuniões de segunda-feira que as antecedem.</w:t>
      </w:r>
    </w:p>
    <w:p>
      <w:pPr>
        <w:pStyle w:val="ListParagraph"/>
        <w:numPr>
          <w:ilvl w:val="0"/>
          <w:numId w:val="2"/>
        </w:numPr>
        <w:spacing w:after="60"/>
      </w:pPr>
      <w:r>
        <w:rPr>
          <w:sz w:val="21"/>
          <w:szCs w:val="21"/>
        </w:rPr>
        <w:t xml:space="preserve">Consumo da Google Maps API acima do crédito gratuito de US$ 200/mês — mitigar com monitoramento semanal no Google Cloud Console a partir da Sprint 7.</w:t>
      </w:r>
    </w:p>
    <w:p>
      <w:pPr>
        <w:pStyle w:val="ListParagraph"/>
        <w:numPr>
          <w:ilvl w:val="0"/>
          <w:numId w:val="2"/>
        </w:numPr>
        <w:spacing w:after="60"/>
      </w:pPr>
      <w:r>
        <w:rPr>
          <w:sz w:val="21"/>
          <w:szCs w:val="21"/>
        </w:rPr>
        <w:t xml:space="preserve">Concentração de conhecimento em poucas frentes (ex.: só uma pessoa no Banco de Dados/Algoritmo) — mitigar com revisão de Pull Request cruzada entre frentes.</w:t>
      </w:r>
    </w:p>
    <w:p>
      <w:pPr>
        <w:pStyle w:val="ListParagraph"/>
        <w:numPr>
          <w:ilvl w:val="0"/>
          <w:numId w:val="2"/>
        </w:numPr>
        <w:spacing w:after="60"/>
      </w:pPr>
      <w:r>
        <w:rPr>
          <w:sz w:val="21"/>
          <w:szCs w:val="21"/>
        </w:rPr>
        <w:t xml:space="preserve">Compressão de escopo na reta final: qualquer atraso nas Sprints 1-6 pressiona diretamente a Sprint 8 (QA/usabilidade), que já é curta — recomenda-se não sacrificar QA em favor de novas funcionalidades.</w:t>
      </w:r>
    </w:p>
    <w:p>
      <w:pPr>
        <w:pStyle w:val="Heading1"/>
        <w:pBdr>
          <w:bottom w:val="single" w:color="E8722C" w:sz="12" w:space="4"/>
        </w:pBdr>
        <w:spacing w:after="160" w:before="320"/>
      </w:pPr>
      <w:r>
        <w:rPr>
          <w:b/>
          <w:bCs/>
          <w:color w:val="1B2A4A"/>
          <w:sz w:val="30"/>
          <w:szCs w:val="30"/>
        </w:rPr>
        <w:t xml:space="preserve">10. Critérios de Sucesso (herdados do TAP)</w:t>
      </w:r>
    </w:p>
    <w:p>
      <w:pPr>
        <w:pStyle w:val="ListParagraph"/>
        <w:numPr>
          <w:ilvl w:val="0"/>
          <w:numId w:val="2"/>
        </w:numPr>
        <w:spacing w:after="60"/>
      </w:pPr>
      <w:r>
        <w:rPr>
          <w:sz w:val="21"/>
          <w:szCs w:val="21"/>
        </w:rPr>
        <w:t xml:space="preserve">Jornada do usuário concluída em, no máximo, 3 interações, verificada em teste de usabilidade com roteiro definido.</w:t>
      </w:r>
    </w:p>
    <w:p>
      <w:pPr>
        <w:pStyle w:val="ListParagraph"/>
        <w:numPr>
          <w:ilvl w:val="0"/>
          <w:numId w:val="2"/>
        </w:numPr>
        <w:spacing w:after="60"/>
      </w:pPr>
      <w:r>
        <w:rPr>
          <w:sz w:val="21"/>
          <w:szCs w:val="21"/>
        </w:rPr>
        <w:t xml:space="preserve">Tempo de carregamento inferior a 3 segundos.</w:t>
      </w:r>
    </w:p>
    <w:p>
      <w:pPr>
        <w:pStyle w:val="ListParagraph"/>
        <w:numPr>
          <w:ilvl w:val="0"/>
          <w:numId w:val="2"/>
        </w:numPr>
        <w:spacing w:after="60"/>
      </w:pPr>
      <w:r>
        <w:rPr>
          <w:sz w:val="21"/>
          <w:szCs w:val="21"/>
        </w:rPr>
        <w:t xml:space="preserve">Intenção de uso acima de 60% dos participantes do teste de usabilidade.</w:t>
      </w:r>
    </w:p>
    <w:p>
      <w:pPr>
        <w:pStyle w:val="ListParagraph"/>
        <w:numPr>
          <w:ilvl w:val="0"/>
          <w:numId w:val="2"/>
        </w:numPr>
        <w:spacing w:after="60"/>
      </w:pPr>
      <w:r>
        <w:rPr>
          <w:sz w:val="21"/>
          <w:szCs w:val="21"/>
        </w:rPr>
        <w:t xml:space="preserve">Prova de Conceito aprovada na apresentação final de 15/11/2026, com todos os RF de alta prioridade do Escopo Técnico funcionando: busca pública, telas de detalhes, gatilho de favoritar e cadastro B2C.</w:t>
      </w:r>
    </w:p>
    <w:p>
      <w:pPr>
        <w:pStyle w:val="Heading1"/>
        <w:pBdr>
          <w:bottom w:val="single" w:color="E8722C" w:sz="12" w:space="4"/>
        </w:pBdr>
        <w:spacing w:after="160" w:before="320"/>
      </w:pPr>
      <w:r>
        <w:rPr>
          <w:b/>
          <w:bCs/>
          <w:color w:val="1B2A4A"/>
          <w:sz w:val="30"/>
          <w:szCs w:val="30"/>
        </w:rPr>
        <w:t xml:space="preserve">11. Sobre este arquivo</w:t>
      </w:r>
    </w:p>
    <w:p>
      <w:pPr>
        <w:spacing w:after="120"/>
      </w:pPr>
      <w:r>
        <w:rPr>
          <w:sz w:val="21"/>
          <w:szCs w:val="21"/>
        </w:rPr>
        <w:t xml:space="preserve">Este documento está em formato .docx (Word) para poder ser aberto e editado em conjunto no Google Docs: no Google Drive, use “Fazer upload de arquivo” e depois “Abrir com o Google Docs” — os títulos, tabelas, cores e listas desta versão são mantidos na conversão, então a formatação não muda, só passa a ser editável por todos os integrantes.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Venuo — Plano de Sprints (Kanban) e EAP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2026-09-17T02:49:37.490Z</dcterms:created>
  <dcterms:modified xsi:type="dcterms:W3CDTF">2026-09-17T02:49:37.498Z</dcterms:modified>
</cp:coreProperties>
</file>

<file path=docProps/custom.xml><?xml version="1.0" encoding="utf-8"?>
<Properties xmlns="http://schemas.openxmlformats.org/officeDocument/2006/custom-properties" xmlns:vt="http://schemas.openxmlformats.org/officeDocument/2006/docPropsVTypes"/>
</file>