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02E02" w14:textId="77777777" w:rsidR="00E05928" w:rsidRPr="00352D5F" w:rsidRDefault="00E05928" w:rsidP="00E05928">
      <w:pPr>
        <w:spacing w:line="480" w:lineRule="auto"/>
        <w:ind w:left="900" w:right="720"/>
        <w:jc w:val="center"/>
        <w:rPr>
          <w:rFonts w:ascii="Arial" w:eastAsiaTheme="minorHAnsi" w:hAnsi="Arial" w:cs="Arial"/>
          <w:b/>
          <w:bCs/>
          <w:sz w:val="24"/>
          <w:szCs w:val="24"/>
          <w:lang w:val="en-IN"/>
        </w:rPr>
      </w:pPr>
      <w:r w:rsidRPr="00352D5F">
        <w:rPr>
          <w:rFonts w:ascii="Arial" w:eastAsiaTheme="minorHAnsi" w:hAnsi="Arial" w:cs="Arial"/>
          <w:b/>
          <w:bCs/>
          <w:sz w:val="24"/>
          <w:szCs w:val="24"/>
          <w:lang w:val="en-IN"/>
        </w:rPr>
        <w:t>ABSTRACT OF THE INVENTION</w:t>
      </w:r>
    </w:p>
    <w:p w14:paraId="5FDA65E1" w14:textId="52A895B1" w:rsidR="00CA1869" w:rsidRPr="00352D5F" w:rsidRDefault="00352D5F" w:rsidP="00352D5F">
      <w:pPr>
        <w:pStyle w:val="ListParagraph"/>
        <w:spacing w:line="480" w:lineRule="auto"/>
        <w:ind w:left="0"/>
        <w:jc w:val="both"/>
        <w:rPr>
          <w:rFonts w:ascii="Times New Roman" w:hAnsi="Times New Roman" w:cs="Times New Roman"/>
          <w:b/>
          <w:bCs/>
        </w:rPr>
      </w:pPr>
      <w:r w:rsidRPr="00352D5F">
        <w:rPr>
          <w:rFonts w:ascii="Arial" w:hAnsi="Arial" w:cs="Arial"/>
          <w:sz w:val="24"/>
          <w:szCs w:val="24"/>
          <w:lang w:val="en-IN"/>
        </w:rPr>
        <w:t xml:space="preserve">Autonomous Multi-Agent Hybrid Healthcare Intelligence System </w:t>
      </w:r>
      <w:r w:rsidR="005538C0" w:rsidRPr="005538C0">
        <w:rPr>
          <w:rFonts w:ascii="Arial" w:hAnsi="Arial" w:cs="Arial"/>
          <w:sz w:val="24"/>
          <w:szCs w:val="24"/>
          <w:lang w:val="en-IN"/>
        </w:rPr>
        <w:t>ability to utilize a mixture of experts in routing mechanisms for neural architectures based on transformers for medical domain expertise. The</w:t>
      </w:r>
      <w:r>
        <w:rPr>
          <w:rFonts w:ascii="Arial" w:hAnsi="Arial" w:cs="Arial"/>
          <w:sz w:val="24"/>
          <w:szCs w:val="24"/>
          <w:lang w:val="en-IN"/>
        </w:rPr>
        <w:t xml:space="preserve"> </w:t>
      </w:r>
      <w:r w:rsidR="005538C0" w:rsidRPr="005538C0">
        <w:rPr>
          <w:rFonts w:ascii="Arial" w:hAnsi="Arial" w:cs="Arial"/>
          <w:sz w:val="24"/>
          <w:szCs w:val="24"/>
          <w:lang w:val="en-IN"/>
        </w:rPr>
        <w:t xml:space="preserve">Multi-Agent Healthcare Intelligence System autonomously generates clinical guidance for pharmaceutical science, disease pathophysiology, diagnostic interpretation, symptom analysis, emergency risk stratification, and healthcare facility discovery through six intelligent agents. An Adaptive Language Intelligence Engine generates native language medical content in twelve different linguistic frameworks without translation intermediaries for medical terminology accuracy and health context in cultures. </w:t>
      </w:r>
    </w:p>
    <w:p w14:paraId="6AE26BCF" w14:textId="77113DFF" w:rsidR="00876CBE" w:rsidRDefault="00CA1869" w:rsidP="004A40F6">
      <w:pPr>
        <w:spacing w:line="480" w:lineRule="auto"/>
        <w:ind w:right="4"/>
        <w:jc w:val="both"/>
        <w:rPr>
          <w:rFonts w:ascii="Arial" w:hAnsi="Arial" w:cs="Arial"/>
          <w:b/>
          <w:bCs/>
          <w:sz w:val="24"/>
          <w:szCs w:val="24"/>
        </w:rPr>
      </w:pPr>
      <w:r>
        <w:rPr>
          <w:rFonts w:ascii="Arial" w:hAnsi="Arial" w:cs="Arial"/>
          <w:sz w:val="24"/>
          <w:szCs w:val="24"/>
          <w:lang w:val="en-IN"/>
        </w:rPr>
        <w:t xml:space="preserve">     </w:t>
      </w:r>
      <w:r w:rsidR="005538C0" w:rsidRPr="005538C0">
        <w:rPr>
          <w:rFonts w:ascii="Arial" w:hAnsi="Arial" w:cs="Arial"/>
          <w:sz w:val="24"/>
          <w:szCs w:val="24"/>
          <w:lang w:val="en-IN"/>
        </w:rPr>
        <w:t>A Clinical Knowledge Extraction Engine continually parses pharmaceutical databases, disease taxonomies, and clinical literature for graph-based knowledge representations for comprehensive medical reasoning. The framework utilizes autonomous validation protocols for data integrity, clinical accuracy, and temporal currency for hierarchical processing layers. The framework overcomes critical healthcare access barriers by utilizing continuous intelligent guidance irrespective of synchronous practitioner availability for a paradigm shift in autonomous healthcare information democratization.</w:t>
      </w:r>
    </w:p>
    <w:p w14:paraId="68CA513C" w14:textId="77777777" w:rsidR="00876CBE" w:rsidRPr="00E96DFE" w:rsidRDefault="00876CBE" w:rsidP="004A40F6">
      <w:pPr>
        <w:spacing w:line="480" w:lineRule="auto"/>
        <w:ind w:right="4"/>
        <w:jc w:val="both"/>
        <w:rPr>
          <w:rFonts w:ascii="Arial" w:hAnsi="Arial" w:cs="Arial"/>
          <w:b/>
          <w:bCs/>
          <w:sz w:val="24"/>
          <w:szCs w:val="24"/>
        </w:rPr>
      </w:pPr>
    </w:p>
    <w:sectPr w:rsidR="00876CBE" w:rsidRPr="00E96DFE" w:rsidSect="00E05928">
      <w:pgSz w:w="12240" w:h="15840"/>
      <w:pgMar w:top="2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30B84" w14:textId="77777777" w:rsidR="00DE15EE" w:rsidRDefault="00DE15EE" w:rsidP="00EF113F">
      <w:pPr>
        <w:spacing w:after="0" w:line="240" w:lineRule="auto"/>
      </w:pPr>
      <w:r>
        <w:separator/>
      </w:r>
    </w:p>
  </w:endnote>
  <w:endnote w:type="continuationSeparator" w:id="0">
    <w:p w14:paraId="74FBD490" w14:textId="77777777" w:rsidR="00DE15EE" w:rsidRDefault="00DE15EE" w:rsidP="00EF1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4EF5" w14:textId="77777777" w:rsidR="00DE15EE" w:rsidRDefault="00DE15EE" w:rsidP="00EF113F">
      <w:pPr>
        <w:spacing w:after="0" w:line="240" w:lineRule="auto"/>
      </w:pPr>
      <w:r>
        <w:separator/>
      </w:r>
    </w:p>
  </w:footnote>
  <w:footnote w:type="continuationSeparator" w:id="0">
    <w:p w14:paraId="199BC86F" w14:textId="77777777" w:rsidR="00DE15EE" w:rsidRDefault="00DE15EE" w:rsidP="00EF11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28"/>
    <w:rsid w:val="00066972"/>
    <w:rsid w:val="00120C7E"/>
    <w:rsid w:val="00352D5F"/>
    <w:rsid w:val="004540A8"/>
    <w:rsid w:val="00456DC9"/>
    <w:rsid w:val="004A40F6"/>
    <w:rsid w:val="005538C0"/>
    <w:rsid w:val="006F0DCD"/>
    <w:rsid w:val="00876CBE"/>
    <w:rsid w:val="008C2013"/>
    <w:rsid w:val="009631BD"/>
    <w:rsid w:val="009E2F07"/>
    <w:rsid w:val="00AB6C79"/>
    <w:rsid w:val="00BF1AB8"/>
    <w:rsid w:val="00CA1869"/>
    <w:rsid w:val="00D00BEA"/>
    <w:rsid w:val="00DE15EE"/>
    <w:rsid w:val="00E05928"/>
    <w:rsid w:val="00E1112B"/>
    <w:rsid w:val="00E3307F"/>
    <w:rsid w:val="00EF113F"/>
    <w:rsid w:val="00F2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52376"/>
  <w15:docId w15:val="{FB0F8451-3D56-4A85-B42B-525307DD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2D5F"/>
    <w:pPr>
      <w:ind w:left="720"/>
      <w:contextualSpacing/>
    </w:pPr>
    <w:rPr>
      <w:rFonts w:eastAsiaTheme="minorHAnsi"/>
    </w:rPr>
  </w:style>
  <w:style w:type="paragraph" w:styleId="Header">
    <w:name w:val="header"/>
    <w:basedOn w:val="Normal"/>
    <w:link w:val="HeaderChar"/>
    <w:uiPriority w:val="99"/>
    <w:unhideWhenUsed/>
    <w:rsid w:val="00EF11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13F"/>
  </w:style>
  <w:style w:type="paragraph" w:styleId="Footer">
    <w:name w:val="footer"/>
    <w:basedOn w:val="Normal"/>
    <w:link w:val="FooterChar"/>
    <w:uiPriority w:val="99"/>
    <w:unhideWhenUsed/>
    <w:rsid w:val="00EF11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GADDAM VENU</cp:lastModifiedBy>
  <cp:revision>11</cp:revision>
  <dcterms:created xsi:type="dcterms:W3CDTF">2026-02-11T04:49:00Z</dcterms:created>
  <dcterms:modified xsi:type="dcterms:W3CDTF">2026-04-08T05:28:00Z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96826f75226b55170265a5c558a16e16d91245e78e7c625fdda608c1630788b3</vt:lpwstr>
  </property>
</Properties>
</file>